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AE78" w14:textId="77777777" w:rsidR="001D2CD8" w:rsidRPr="00246D7A" w:rsidRDefault="00A23BB9" w:rsidP="001D2CD8">
      <w:pPr>
        <w:pStyle w:val="Heading1"/>
        <w:jc w:val="center"/>
        <w:rPr>
          <w:lang w:val="fr-FR"/>
        </w:rPr>
      </w:pPr>
      <w:r w:rsidRPr="00246D7A">
        <w:rPr>
          <w:lang w:val="fr-FR"/>
        </w:rPr>
        <w:t xml:space="preserve">Transformative Carbon Asset Facility </w:t>
      </w:r>
      <w:r w:rsidR="001D2CD8" w:rsidRPr="00246D7A">
        <w:rPr>
          <w:lang w:val="fr-FR"/>
        </w:rPr>
        <w:t>(</w:t>
      </w:r>
      <w:r w:rsidRPr="00246D7A">
        <w:rPr>
          <w:lang w:val="fr-FR"/>
        </w:rPr>
        <w:t>TCAF</w:t>
      </w:r>
      <w:r w:rsidR="001D2CD8" w:rsidRPr="00246D7A">
        <w:rPr>
          <w:lang w:val="fr-FR"/>
        </w:rPr>
        <w:t xml:space="preserve">) </w:t>
      </w:r>
    </w:p>
    <w:p w14:paraId="566C220F" w14:textId="207E5A2E" w:rsidR="001D2CD8" w:rsidRPr="00E40F9C" w:rsidRDefault="00A23BB9" w:rsidP="001D2CD8">
      <w:pPr>
        <w:pStyle w:val="Heading1"/>
        <w:jc w:val="center"/>
      </w:pPr>
      <w:r>
        <w:t>Preliminary-Program I</w:t>
      </w:r>
      <w:r w:rsidR="00AD38AF">
        <w:t>nformation</w:t>
      </w:r>
      <w:r w:rsidR="00B36D0C">
        <w:t xml:space="preserve"> </w:t>
      </w:r>
      <w:r w:rsidR="00467E85">
        <w:t>Note</w:t>
      </w:r>
      <w:r>
        <w:t xml:space="preserve"> (Pre-</w:t>
      </w:r>
      <w:r w:rsidR="00B36D0C">
        <w:t>PIN)</w:t>
      </w:r>
    </w:p>
    <w:p w14:paraId="0D638BF1" w14:textId="082336A9" w:rsidR="00552C9A" w:rsidRDefault="001D2CD8" w:rsidP="001D2CD8">
      <w:pPr>
        <w:spacing w:before="120" w:after="0"/>
        <w:jc w:val="both"/>
      </w:pPr>
      <w:r w:rsidRPr="00E40F9C">
        <w:t xml:space="preserve">This </w:t>
      </w:r>
      <w:r w:rsidR="003C6B3F">
        <w:t xml:space="preserve">template </w:t>
      </w:r>
      <w:r w:rsidR="00C43994">
        <w:t xml:space="preserve">for Pre-PIN note </w:t>
      </w:r>
      <w:r w:rsidR="00552C9A">
        <w:t xml:space="preserve">is to be completed to enable the </w:t>
      </w:r>
      <w:r w:rsidR="00CB5279">
        <w:t>screening</w:t>
      </w:r>
      <w:r w:rsidR="00A23BB9">
        <w:t xml:space="preserve"> of proposed scale</w:t>
      </w:r>
      <w:r w:rsidR="00114304">
        <w:t>-</w:t>
      </w:r>
      <w:r w:rsidR="00A23BB9">
        <w:t>up crediting program for TCAF</w:t>
      </w:r>
      <w:r w:rsidR="00A86414">
        <w:t xml:space="preserve"> </w:t>
      </w:r>
      <w:r w:rsidR="00A23BB9">
        <w:t xml:space="preserve">consideration. </w:t>
      </w:r>
      <w:r w:rsidR="00C43994">
        <w:t xml:space="preserve"> </w:t>
      </w:r>
      <w:r w:rsidR="00872418">
        <w:t>The note should give concrete information about the proposed investment program or policy measures to ensure the crediting program is attributable to a particular intervention.</w:t>
      </w:r>
    </w:p>
    <w:p w14:paraId="2442412D" w14:textId="52FCAA38" w:rsidR="00AD38AF" w:rsidRDefault="003C6B3F" w:rsidP="001D2CD8">
      <w:pPr>
        <w:spacing w:before="120" w:after="0"/>
        <w:jc w:val="both"/>
      </w:pPr>
      <w:r>
        <w:t>Please provide</w:t>
      </w:r>
      <w:r w:rsidR="001D2CD8" w:rsidRPr="00E40F9C">
        <w:t xml:space="preserve"> the following information</w:t>
      </w:r>
      <w:r w:rsidR="00062DE9">
        <w:t xml:space="preserve"> </w:t>
      </w:r>
      <w:r w:rsidR="00A86414">
        <w:t>in</w:t>
      </w:r>
      <w:r w:rsidR="00062DE9">
        <w:t xml:space="preserve"> approximately </w:t>
      </w:r>
      <w:r w:rsidR="00B34573">
        <w:t>5</w:t>
      </w:r>
      <w:r w:rsidR="00751375">
        <w:t>-6</w:t>
      </w:r>
      <w:r w:rsidR="00062DE9">
        <w:t xml:space="preserve"> pages</w:t>
      </w:r>
      <w:r w:rsidR="00467E85">
        <w:t xml:space="preserve"> in a concise manner.</w:t>
      </w:r>
      <w:r w:rsidR="00062DE9">
        <w:t xml:space="preserve"> </w:t>
      </w:r>
    </w:p>
    <w:p w14:paraId="3EFC6502" w14:textId="1CCB1FAF" w:rsidR="001D2CD8" w:rsidRDefault="001D2CD8" w:rsidP="001D2CD8">
      <w:pPr>
        <w:spacing w:before="120" w:after="0"/>
        <w:jc w:val="both"/>
      </w:pPr>
      <w:r>
        <w:t xml:space="preserve"> </w:t>
      </w:r>
    </w:p>
    <w:p w14:paraId="515091F7" w14:textId="6A134FCB" w:rsidR="00AD38AF" w:rsidRDefault="00AD38AF" w:rsidP="004953FF"/>
    <w:p w14:paraId="01E918F5" w14:textId="77777777" w:rsidR="00AD38AF" w:rsidRDefault="00AD38AF">
      <w:r>
        <w:br w:type="page"/>
      </w:r>
    </w:p>
    <w:p w14:paraId="0C2982DE" w14:textId="14717ADD" w:rsidR="00AD38AF" w:rsidRPr="00AD38AF" w:rsidRDefault="00BC6D7F" w:rsidP="00AD38A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jc w:val="center"/>
        <w:outlineLvl w:val="0"/>
        <w:rPr>
          <w:b/>
          <w:bCs/>
          <w:caps/>
          <w:color w:val="FFFFFF" w:themeColor="background1"/>
          <w:spacing w:val="15"/>
          <w:lang w:bidi="en-US"/>
        </w:rPr>
      </w:pPr>
      <w:r>
        <w:rPr>
          <w:b/>
          <w:bCs/>
          <w:caps/>
          <w:color w:val="FFFFFF" w:themeColor="background1"/>
          <w:spacing w:val="15"/>
          <w:lang w:bidi="en-US"/>
        </w:rPr>
        <w:lastRenderedPageBreak/>
        <w:t>P</w:t>
      </w:r>
      <w:r w:rsidR="00AD38AF" w:rsidRPr="00AD38AF">
        <w:rPr>
          <w:b/>
          <w:bCs/>
          <w:caps/>
          <w:color w:val="FFFFFF" w:themeColor="background1"/>
          <w:spacing w:val="15"/>
          <w:lang w:bidi="en-US"/>
        </w:rPr>
        <w:t xml:space="preserve">reliminary-Program </w:t>
      </w:r>
      <w:r>
        <w:rPr>
          <w:b/>
          <w:bCs/>
          <w:caps/>
          <w:color w:val="FFFFFF" w:themeColor="background1"/>
          <w:spacing w:val="15"/>
          <w:lang w:bidi="en-US"/>
        </w:rPr>
        <w:t>Information</w:t>
      </w:r>
      <w:r w:rsidR="00AD38AF" w:rsidRPr="00AD38AF">
        <w:rPr>
          <w:b/>
          <w:bCs/>
          <w:caps/>
          <w:color w:val="FFFFFF" w:themeColor="background1"/>
          <w:spacing w:val="15"/>
          <w:lang w:bidi="en-US"/>
        </w:rPr>
        <w:t xml:space="preserve"> Note (Pre-PIN)</w:t>
      </w:r>
    </w:p>
    <w:p w14:paraId="2F8E23E4" w14:textId="60831A78" w:rsidR="00AD38AF" w:rsidRPr="00AD38AF" w:rsidRDefault="00BC6D7F" w:rsidP="00AD38A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jc w:val="center"/>
        <w:outlineLvl w:val="0"/>
        <w:rPr>
          <w:b/>
          <w:bCs/>
          <w:caps/>
          <w:color w:val="FFFFFF" w:themeColor="background1"/>
          <w:spacing w:val="15"/>
          <w:lang w:bidi="en-US"/>
        </w:rPr>
      </w:pPr>
      <w:r>
        <w:rPr>
          <w:b/>
          <w:bCs/>
          <w:caps/>
          <w:color w:val="FFFFFF" w:themeColor="background1"/>
          <w:spacing w:val="15"/>
          <w:lang w:bidi="en-US"/>
        </w:rPr>
        <w:t>Country</w:t>
      </w:r>
      <w:r w:rsidR="00AD38AF" w:rsidRPr="00AD38AF">
        <w:rPr>
          <w:b/>
          <w:bCs/>
          <w:caps/>
          <w:color w:val="FFFFFF" w:themeColor="background1"/>
          <w:spacing w:val="15"/>
          <w:lang w:bidi="en-US"/>
        </w:rPr>
        <w:t>:</w:t>
      </w:r>
      <w:r>
        <w:rPr>
          <w:b/>
          <w:bCs/>
          <w:caps/>
          <w:color w:val="FFFFFF" w:themeColor="background1"/>
          <w:spacing w:val="15"/>
          <w:lang w:bidi="en-US"/>
        </w:rPr>
        <w:t xml:space="preserve"> Name of the propsed program</w:t>
      </w:r>
    </w:p>
    <w:p w14:paraId="7B039FDE" w14:textId="77777777" w:rsidR="00AD38AF" w:rsidRPr="00AD38AF" w:rsidRDefault="00AD38AF" w:rsidP="00AD38AF">
      <w:pPr>
        <w:rPr>
          <w:lang w:bidi="en-US"/>
        </w:rPr>
      </w:pPr>
    </w:p>
    <w:p w14:paraId="5518F0C6" w14:textId="3C8EA3C4" w:rsidR="00AD38AF" w:rsidRPr="00AD38AF" w:rsidRDefault="00AD38AF" w:rsidP="00AD38AF">
      <w:pPr>
        <w:numPr>
          <w:ilvl w:val="0"/>
          <w:numId w:val="16"/>
        </w:numPr>
        <w:spacing w:before="120" w:after="120"/>
        <w:ind w:hanging="450"/>
        <w:contextualSpacing/>
        <w:jc w:val="both"/>
        <w:rPr>
          <w:rFonts w:eastAsiaTheme="majorEastAsia" w:cstheme="majorBidi"/>
          <w:color w:val="365F91" w:themeColor="accent1" w:themeShade="BF"/>
          <w:sz w:val="24"/>
          <w:szCs w:val="24"/>
        </w:rPr>
      </w:pPr>
      <w:r w:rsidRPr="00AD38AF">
        <w:rPr>
          <w:rFonts w:eastAsiaTheme="majorEastAsia" w:cstheme="majorBidi"/>
          <w:color w:val="365F91" w:themeColor="accent1" w:themeShade="BF"/>
          <w:sz w:val="24"/>
          <w:szCs w:val="24"/>
        </w:rPr>
        <w:t>Pro-mitigation policy and regulatory framework</w:t>
      </w:r>
      <w:r>
        <w:rPr>
          <w:rFonts w:eastAsiaTheme="majorEastAsia" w:cstheme="majorBidi"/>
          <w:color w:val="365F91" w:themeColor="accent1" w:themeShade="BF"/>
          <w:sz w:val="24"/>
          <w:szCs w:val="24"/>
        </w:rPr>
        <w:t xml:space="preserve"> for the target sector</w:t>
      </w:r>
      <w:r w:rsidRPr="00AD38AF">
        <w:rPr>
          <w:rFonts w:eastAsiaTheme="majorEastAsia" w:cstheme="majorBidi"/>
          <w:color w:val="365F91" w:themeColor="accent1" w:themeShade="BF"/>
          <w:sz w:val="24"/>
          <w:szCs w:val="24"/>
        </w:rPr>
        <w:t xml:space="preserve"> </w:t>
      </w:r>
    </w:p>
    <w:p w14:paraId="42730288" w14:textId="4DC03BE5" w:rsidR="00AD38AF" w:rsidRPr="00AD38AF" w:rsidRDefault="00CD7B0C" w:rsidP="00AD38AF">
      <w:pPr>
        <w:pStyle w:val="ListParagraph"/>
        <w:numPr>
          <w:ilvl w:val="0"/>
          <w:numId w:val="15"/>
        </w:numPr>
        <w:spacing w:before="120"/>
        <w:ind w:left="450" w:hanging="450"/>
        <w:jc w:val="both"/>
        <w:rPr>
          <w:b/>
        </w:rPr>
      </w:pPr>
      <w:r>
        <w:t>D</w:t>
      </w:r>
      <w:r w:rsidR="00AD38AF">
        <w:t xml:space="preserve">escribe the country’s </w:t>
      </w:r>
      <w:r>
        <w:t xml:space="preserve">sectoral context </w:t>
      </w:r>
      <w:r w:rsidR="00AD38AF">
        <w:t>relevant to the TCAF program</w:t>
      </w:r>
      <w:r>
        <w:t>, including policy/</w:t>
      </w:r>
      <w:r w:rsidR="00761B51">
        <w:t>regulatory framework and</w:t>
      </w:r>
      <w:r>
        <w:t xml:space="preserve"> development challenges</w:t>
      </w:r>
      <w:r w:rsidR="00761B51">
        <w:t xml:space="preserve"> that the proposed program is trying to </w:t>
      </w:r>
      <w:proofErr w:type="gramStart"/>
      <w:r w:rsidR="00761B51">
        <w:t>address</w:t>
      </w:r>
      <w:r w:rsidR="00AD38AF">
        <w:t>;</w:t>
      </w:r>
      <w:proofErr w:type="gramEnd"/>
      <w:r w:rsidR="00AD38AF">
        <w:t xml:space="preserve"> </w:t>
      </w:r>
    </w:p>
    <w:p w14:paraId="2A56EA1B" w14:textId="77777777" w:rsidR="004B768E" w:rsidRPr="00133D8E" w:rsidRDefault="004B768E" w:rsidP="004B768E">
      <w:pPr>
        <w:pStyle w:val="ListParagraph"/>
        <w:numPr>
          <w:ilvl w:val="0"/>
          <w:numId w:val="15"/>
        </w:numPr>
        <w:spacing w:before="120"/>
        <w:ind w:left="450" w:hanging="450"/>
        <w:jc w:val="both"/>
        <w:rPr>
          <w:b/>
        </w:rPr>
      </w:pPr>
      <w:r>
        <w:t xml:space="preserve">Describe the country’s NDC, the </w:t>
      </w:r>
      <w:r w:rsidRPr="00872418">
        <w:t>mitigation strategy</w:t>
      </w:r>
      <w:r>
        <w:t xml:space="preserve"> for the target sector as suggested in the NDC and how the proposed program is aligned with the sectoral mitigation strategy. </w:t>
      </w:r>
    </w:p>
    <w:p w14:paraId="541E834F" w14:textId="4880A7FB" w:rsidR="00133D8E" w:rsidRPr="00133D8E" w:rsidRDefault="00CD7B0C" w:rsidP="00133D8E">
      <w:pPr>
        <w:pStyle w:val="ListParagraph"/>
        <w:numPr>
          <w:ilvl w:val="0"/>
          <w:numId w:val="15"/>
        </w:numPr>
        <w:spacing w:before="120"/>
        <w:ind w:left="450" w:hanging="450"/>
        <w:jc w:val="both"/>
        <w:rPr>
          <w:b/>
        </w:rPr>
      </w:pPr>
      <w:r>
        <w:t>D</w:t>
      </w:r>
      <w:r w:rsidR="00AD38AF">
        <w:t>escribe t</w:t>
      </w:r>
      <w:r w:rsidR="00AD38AF" w:rsidRPr="00872418">
        <w:t xml:space="preserve">he country’s </w:t>
      </w:r>
      <w:r w:rsidR="00AD38AF">
        <w:t>emission trajectory</w:t>
      </w:r>
      <w:r w:rsidR="00133D8E">
        <w:t xml:space="preserve"> and emission drivers</w:t>
      </w:r>
      <w:r w:rsidR="00AD38AF">
        <w:t xml:space="preserve"> </w:t>
      </w:r>
      <w:r w:rsidR="00133D8E">
        <w:t xml:space="preserve">in the sector </w:t>
      </w:r>
      <w:r w:rsidR="00AD38AF" w:rsidRPr="00872418">
        <w:t>relevant to the TCAF program</w:t>
      </w:r>
      <w:r w:rsidR="00AD38AF">
        <w:t xml:space="preserve"> </w:t>
      </w:r>
      <w:r w:rsidR="002B4608">
        <w:t xml:space="preserve">as defined in the </w:t>
      </w:r>
      <w:r w:rsidR="00AD38AF" w:rsidRPr="00872418">
        <w:t>NDC submission</w:t>
      </w:r>
      <w:r w:rsidR="00AD38AF">
        <w:t xml:space="preserve">, preferably in three scenarios, business as usual (BAU), unconditional, and conditional with international </w:t>
      </w:r>
      <w:proofErr w:type="gramStart"/>
      <w:r w:rsidR="00AD38AF">
        <w:t>support;</w:t>
      </w:r>
      <w:proofErr w:type="gramEnd"/>
      <w:r w:rsidR="00AD38AF">
        <w:t xml:space="preserve"> </w:t>
      </w:r>
    </w:p>
    <w:p w14:paraId="0DF5A03B" w14:textId="77777777" w:rsidR="00AD38AF" w:rsidRPr="00AD38AF" w:rsidRDefault="00AD38AF" w:rsidP="00AD38AF">
      <w:pPr>
        <w:numPr>
          <w:ilvl w:val="0"/>
          <w:numId w:val="16"/>
        </w:numPr>
        <w:autoSpaceDE w:val="0"/>
        <w:autoSpaceDN w:val="0"/>
        <w:adjustRightInd w:val="0"/>
        <w:spacing w:after="240" w:line="240" w:lineRule="auto"/>
        <w:ind w:hanging="450"/>
        <w:contextualSpacing/>
        <w:rPr>
          <w:rFonts w:eastAsiaTheme="majorEastAsia" w:cstheme="majorBidi"/>
          <w:color w:val="365F91" w:themeColor="accent1" w:themeShade="BF"/>
          <w:sz w:val="24"/>
          <w:szCs w:val="24"/>
        </w:rPr>
      </w:pPr>
      <w:r w:rsidRPr="00AD38AF">
        <w:rPr>
          <w:rFonts w:eastAsiaTheme="majorEastAsia" w:cstheme="majorBidi"/>
          <w:color w:val="365F91" w:themeColor="accent1" w:themeShade="BF"/>
          <w:sz w:val="24"/>
          <w:szCs w:val="24"/>
        </w:rPr>
        <w:t>Description of the proposed program</w:t>
      </w:r>
    </w:p>
    <w:p w14:paraId="5042D0FD" w14:textId="77777777" w:rsidR="00AD38AF" w:rsidRDefault="00AD38AF" w:rsidP="00AD38AF">
      <w:pPr>
        <w:autoSpaceDE w:val="0"/>
        <w:autoSpaceDN w:val="0"/>
        <w:adjustRightInd w:val="0"/>
        <w:spacing w:after="240" w:line="240" w:lineRule="auto"/>
        <w:ind w:left="450" w:hanging="450"/>
        <w:jc w:val="both"/>
      </w:pPr>
      <w:r>
        <w:t>-</w:t>
      </w:r>
      <w:r>
        <w:tab/>
        <w:t xml:space="preserve">The objective and key activities of the proposed </w:t>
      </w:r>
      <w:proofErr w:type="gramStart"/>
      <w:r>
        <w:t>program;</w:t>
      </w:r>
      <w:proofErr w:type="gramEnd"/>
    </w:p>
    <w:p w14:paraId="68E0F0F1" w14:textId="3EE388CC" w:rsidR="00AD38AF" w:rsidRDefault="00AD38AF" w:rsidP="00AD38AF">
      <w:pPr>
        <w:autoSpaceDE w:val="0"/>
        <w:autoSpaceDN w:val="0"/>
        <w:adjustRightInd w:val="0"/>
        <w:spacing w:after="240" w:line="240" w:lineRule="auto"/>
        <w:ind w:left="450" w:hanging="450"/>
        <w:jc w:val="both"/>
      </w:pPr>
      <w:r>
        <w:t>-       Institutional framework and implementation arrangement (Please specify the arrangement for sub-project preparation, approval and implementation, enforcement of regulation/standard if applicable, MRV, etc.)</w:t>
      </w:r>
    </w:p>
    <w:p w14:paraId="6C4F1443" w14:textId="77777777" w:rsidR="004E357D" w:rsidRDefault="00AD38AF" w:rsidP="004E357D">
      <w:pPr>
        <w:autoSpaceDE w:val="0"/>
        <w:autoSpaceDN w:val="0"/>
        <w:adjustRightInd w:val="0"/>
        <w:spacing w:after="240" w:line="240" w:lineRule="auto"/>
        <w:ind w:left="450" w:hanging="450"/>
        <w:jc w:val="both"/>
      </w:pPr>
      <w:r>
        <w:t xml:space="preserve">-   Financing arrangements for program coordination and underlying investment and/or </w:t>
      </w:r>
      <w:r w:rsidR="00114304">
        <w:t>policy implementation</w:t>
      </w:r>
      <w:r>
        <w:t xml:space="preserve">/enforcement </w:t>
      </w:r>
      <w:proofErr w:type="gramStart"/>
      <w:r>
        <w:t>cost;</w:t>
      </w:r>
      <w:proofErr w:type="gramEnd"/>
    </w:p>
    <w:p w14:paraId="28CD5CEC" w14:textId="43632A9B" w:rsidR="00B34573" w:rsidRPr="00751375" w:rsidRDefault="00B34573" w:rsidP="00B34573">
      <w:pPr>
        <w:pStyle w:val="ListParagraph"/>
        <w:numPr>
          <w:ilvl w:val="0"/>
          <w:numId w:val="15"/>
        </w:numPr>
        <w:autoSpaceDE w:val="0"/>
        <w:autoSpaceDN w:val="0"/>
        <w:adjustRightInd w:val="0"/>
        <w:spacing w:after="240" w:line="240" w:lineRule="auto"/>
        <w:ind w:left="450" w:hanging="450"/>
        <w:jc w:val="both"/>
      </w:pPr>
      <w:r w:rsidRPr="00751375">
        <w:t>Describe how the proposed crediting program will support transformation in the sector by addressing the following aspects of transformation.</w:t>
      </w:r>
      <w:r w:rsidR="00776761">
        <w:rPr>
          <w:rStyle w:val="FootnoteReference"/>
        </w:rPr>
        <w:footnoteReference w:id="2"/>
      </w:r>
    </w:p>
    <w:tbl>
      <w:tblPr>
        <w:tblStyle w:val="TableGrid"/>
        <w:tblW w:w="0" w:type="auto"/>
        <w:tblInd w:w="355" w:type="dxa"/>
        <w:tblLook w:val="04A0" w:firstRow="1" w:lastRow="0" w:firstColumn="1" w:lastColumn="0" w:noHBand="0" w:noVBand="1"/>
      </w:tblPr>
      <w:tblGrid>
        <w:gridCol w:w="2761"/>
        <w:gridCol w:w="3117"/>
        <w:gridCol w:w="3117"/>
      </w:tblGrid>
      <w:tr w:rsidR="00B34573" w14:paraId="15C01217" w14:textId="77777777" w:rsidTr="00B34573">
        <w:tc>
          <w:tcPr>
            <w:tcW w:w="2761" w:type="dxa"/>
          </w:tcPr>
          <w:p w14:paraId="2CD92CDC" w14:textId="77777777" w:rsidR="00B34573" w:rsidRPr="002D412B" w:rsidRDefault="00B34573" w:rsidP="00E8727C">
            <w:pPr>
              <w:jc w:val="both"/>
              <w:rPr>
                <w:b/>
                <w:color w:val="0070C0"/>
              </w:rPr>
            </w:pPr>
            <w:r w:rsidRPr="002D412B">
              <w:rPr>
                <w:b/>
                <w:color w:val="0070C0"/>
              </w:rPr>
              <w:t>Criteria</w:t>
            </w:r>
          </w:p>
        </w:tc>
        <w:tc>
          <w:tcPr>
            <w:tcW w:w="3117" w:type="dxa"/>
          </w:tcPr>
          <w:p w14:paraId="229AACCB" w14:textId="77777777" w:rsidR="00B34573" w:rsidRPr="002D412B" w:rsidRDefault="00B34573" w:rsidP="00E8727C">
            <w:pPr>
              <w:jc w:val="both"/>
              <w:rPr>
                <w:b/>
                <w:color w:val="0070C0"/>
              </w:rPr>
            </w:pPr>
            <w:r w:rsidRPr="002D412B">
              <w:rPr>
                <w:b/>
                <w:color w:val="0070C0"/>
              </w:rPr>
              <w:t>Indicator</w:t>
            </w:r>
          </w:p>
        </w:tc>
        <w:tc>
          <w:tcPr>
            <w:tcW w:w="3117" w:type="dxa"/>
          </w:tcPr>
          <w:p w14:paraId="22E3BC6B" w14:textId="77777777" w:rsidR="00B34573" w:rsidRPr="002D412B" w:rsidRDefault="00B34573" w:rsidP="00E8727C">
            <w:pPr>
              <w:jc w:val="both"/>
              <w:rPr>
                <w:b/>
                <w:color w:val="0070C0"/>
              </w:rPr>
            </w:pPr>
            <w:r w:rsidRPr="002D412B">
              <w:rPr>
                <w:b/>
                <w:color w:val="0070C0"/>
              </w:rPr>
              <w:t>Metric</w:t>
            </w:r>
          </w:p>
        </w:tc>
      </w:tr>
      <w:tr w:rsidR="00B34573" w14:paraId="12C44C55" w14:textId="77777777" w:rsidTr="00B34573">
        <w:tc>
          <w:tcPr>
            <w:tcW w:w="2761" w:type="dxa"/>
          </w:tcPr>
          <w:p w14:paraId="0482BF32" w14:textId="77777777" w:rsidR="00B34573" w:rsidRPr="002D412B" w:rsidRDefault="00B34573" w:rsidP="00E8727C">
            <w:pPr>
              <w:jc w:val="both"/>
              <w:rPr>
                <w:b/>
              </w:rPr>
            </w:pPr>
            <w:r w:rsidRPr="002D412B">
              <w:rPr>
                <w:b/>
              </w:rPr>
              <w:t xml:space="preserve">Size </w:t>
            </w:r>
          </w:p>
        </w:tc>
        <w:tc>
          <w:tcPr>
            <w:tcW w:w="3117" w:type="dxa"/>
          </w:tcPr>
          <w:p w14:paraId="26ED958A" w14:textId="77777777" w:rsidR="00B34573" w:rsidRDefault="00B34573" w:rsidP="00B34573">
            <w:pPr>
              <w:pStyle w:val="ListParagraph"/>
              <w:numPr>
                <w:ilvl w:val="0"/>
                <w:numId w:val="37"/>
              </w:numPr>
              <w:spacing w:after="0"/>
              <w:contextualSpacing/>
              <w:jc w:val="both"/>
            </w:pPr>
            <w:r>
              <w:t>Volume of ERs</w:t>
            </w:r>
          </w:p>
        </w:tc>
        <w:tc>
          <w:tcPr>
            <w:tcW w:w="3117" w:type="dxa"/>
          </w:tcPr>
          <w:p w14:paraId="038EA7B4" w14:textId="77777777" w:rsidR="00B34573" w:rsidRDefault="00B34573" w:rsidP="00B34573">
            <w:pPr>
              <w:pStyle w:val="ListParagraph"/>
              <w:numPr>
                <w:ilvl w:val="0"/>
                <w:numId w:val="37"/>
              </w:numPr>
              <w:spacing w:after="0"/>
              <w:contextualSpacing/>
              <w:jc w:val="both"/>
            </w:pPr>
            <w:r>
              <w:t>tCO2e</w:t>
            </w:r>
          </w:p>
        </w:tc>
      </w:tr>
      <w:tr w:rsidR="00B34573" w14:paraId="096EC5D5" w14:textId="77777777" w:rsidTr="00B34573">
        <w:tc>
          <w:tcPr>
            <w:tcW w:w="2761" w:type="dxa"/>
          </w:tcPr>
          <w:p w14:paraId="0FB1053D" w14:textId="77777777" w:rsidR="00B34573" w:rsidRPr="002D412B" w:rsidRDefault="00B34573" w:rsidP="00E8727C">
            <w:pPr>
              <w:jc w:val="both"/>
              <w:rPr>
                <w:b/>
              </w:rPr>
            </w:pPr>
            <w:r w:rsidRPr="002D412B">
              <w:rPr>
                <w:b/>
              </w:rPr>
              <w:t>Sustainability</w:t>
            </w:r>
          </w:p>
          <w:p w14:paraId="1522BD05" w14:textId="77777777" w:rsidR="00B34573" w:rsidRDefault="00B34573" w:rsidP="00B34573">
            <w:pPr>
              <w:pStyle w:val="ListParagraph"/>
              <w:numPr>
                <w:ilvl w:val="0"/>
                <w:numId w:val="36"/>
              </w:numPr>
              <w:spacing w:after="0"/>
              <w:contextualSpacing/>
              <w:jc w:val="both"/>
            </w:pPr>
            <w:r>
              <w:t>Technology</w:t>
            </w:r>
          </w:p>
          <w:p w14:paraId="70BA23B5" w14:textId="77777777" w:rsidR="00B34573" w:rsidRDefault="00B34573" w:rsidP="00E8727C">
            <w:pPr>
              <w:jc w:val="both"/>
            </w:pPr>
          </w:p>
          <w:p w14:paraId="2FF8CE1E" w14:textId="77777777" w:rsidR="00B34573" w:rsidRDefault="00B34573" w:rsidP="00E8727C">
            <w:pPr>
              <w:jc w:val="both"/>
            </w:pPr>
          </w:p>
          <w:p w14:paraId="77081602" w14:textId="77777777" w:rsidR="00B34573" w:rsidRDefault="00B34573" w:rsidP="00E8727C">
            <w:pPr>
              <w:jc w:val="both"/>
            </w:pPr>
          </w:p>
          <w:p w14:paraId="0C414503" w14:textId="77777777" w:rsidR="00B34573" w:rsidRDefault="00B34573" w:rsidP="00B34573">
            <w:pPr>
              <w:pStyle w:val="ListParagraph"/>
              <w:numPr>
                <w:ilvl w:val="0"/>
                <w:numId w:val="36"/>
              </w:numPr>
              <w:spacing w:after="0"/>
              <w:contextualSpacing/>
              <w:jc w:val="both"/>
            </w:pPr>
            <w:r>
              <w:t>Policy</w:t>
            </w:r>
          </w:p>
          <w:p w14:paraId="3F01485A" w14:textId="77777777" w:rsidR="00B34573" w:rsidRDefault="00B34573" w:rsidP="00E8727C">
            <w:pPr>
              <w:jc w:val="both"/>
            </w:pPr>
          </w:p>
          <w:p w14:paraId="2F416A61" w14:textId="77777777" w:rsidR="00B34573" w:rsidRDefault="00B34573" w:rsidP="00E8727C">
            <w:pPr>
              <w:jc w:val="both"/>
            </w:pPr>
          </w:p>
          <w:p w14:paraId="7B9AE23A" w14:textId="77777777" w:rsidR="00B34573" w:rsidRDefault="00B34573" w:rsidP="00E8727C">
            <w:pPr>
              <w:jc w:val="both"/>
            </w:pPr>
          </w:p>
          <w:p w14:paraId="7FE5C6D9" w14:textId="77777777" w:rsidR="00B34573" w:rsidRDefault="00B34573" w:rsidP="00E8727C">
            <w:pPr>
              <w:jc w:val="both"/>
            </w:pPr>
          </w:p>
          <w:p w14:paraId="2D0A75BC" w14:textId="77777777" w:rsidR="00B34573" w:rsidRDefault="00B34573" w:rsidP="00E8727C">
            <w:pPr>
              <w:jc w:val="both"/>
            </w:pPr>
          </w:p>
          <w:p w14:paraId="05536D5D" w14:textId="77777777" w:rsidR="00B34573" w:rsidRDefault="00B34573" w:rsidP="00E8727C">
            <w:pPr>
              <w:jc w:val="both"/>
            </w:pPr>
          </w:p>
          <w:p w14:paraId="6C9747DF" w14:textId="77777777" w:rsidR="00B34573" w:rsidRDefault="00B34573" w:rsidP="00B34573">
            <w:pPr>
              <w:pStyle w:val="ListParagraph"/>
              <w:numPr>
                <w:ilvl w:val="0"/>
                <w:numId w:val="36"/>
              </w:numPr>
              <w:spacing w:after="0"/>
              <w:contextualSpacing/>
              <w:jc w:val="both"/>
            </w:pPr>
            <w:r>
              <w:t>Financing</w:t>
            </w:r>
          </w:p>
          <w:p w14:paraId="02AD33F8" w14:textId="77777777" w:rsidR="00B34573" w:rsidRDefault="00B34573" w:rsidP="00E8727C">
            <w:pPr>
              <w:jc w:val="both"/>
            </w:pPr>
          </w:p>
        </w:tc>
        <w:tc>
          <w:tcPr>
            <w:tcW w:w="3117" w:type="dxa"/>
          </w:tcPr>
          <w:p w14:paraId="49AF719B" w14:textId="77777777" w:rsidR="00B34573" w:rsidRDefault="00B34573" w:rsidP="00E8727C">
            <w:pPr>
              <w:jc w:val="both"/>
            </w:pPr>
          </w:p>
          <w:p w14:paraId="6AA63035" w14:textId="77777777" w:rsidR="00B34573" w:rsidRDefault="00B34573" w:rsidP="00B34573">
            <w:pPr>
              <w:pStyle w:val="ListParagraph"/>
              <w:numPr>
                <w:ilvl w:val="0"/>
                <w:numId w:val="36"/>
              </w:numPr>
              <w:spacing w:after="0"/>
              <w:contextualSpacing/>
            </w:pPr>
            <w:r>
              <w:t>Pathway consistency using technology specific indicators</w:t>
            </w:r>
          </w:p>
          <w:p w14:paraId="04945D7D" w14:textId="77777777" w:rsidR="00B34573" w:rsidRDefault="00B34573" w:rsidP="00E8727C">
            <w:pPr>
              <w:jc w:val="both"/>
            </w:pPr>
          </w:p>
          <w:p w14:paraId="4AD33E08" w14:textId="77777777" w:rsidR="00B34573" w:rsidRDefault="00B34573" w:rsidP="00B34573">
            <w:pPr>
              <w:pStyle w:val="ListParagraph"/>
              <w:numPr>
                <w:ilvl w:val="0"/>
                <w:numId w:val="36"/>
              </w:numPr>
              <w:spacing w:after="0"/>
              <w:contextualSpacing/>
              <w:jc w:val="both"/>
            </w:pPr>
            <w:r>
              <w:t>Political/social acceptance</w:t>
            </w:r>
          </w:p>
          <w:p w14:paraId="24FF8689" w14:textId="77777777" w:rsidR="00B34573" w:rsidRDefault="00B34573" w:rsidP="00E8727C">
            <w:pPr>
              <w:pStyle w:val="ListParagraph"/>
              <w:jc w:val="both"/>
            </w:pPr>
          </w:p>
          <w:p w14:paraId="79D8F023" w14:textId="77777777" w:rsidR="00B34573" w:rsidRDefault="00B34573" w:rsidP="00B34573">
            <w:pPr>
              <w:pStyle w:val="ListParagraph"/>
              <w:numPr>
                <w:ilvl w:val="0"/>
                <w:numId w:val="36"/>
              </w:numPr>
              <w:spacing w:after="0"/>
              <w:contextualSpacing/>
              <w:jc w:val="both"/>
            </w:pPr>
            <w:r>
              <w:t>Capacity</w:t>
            </w:r>
          </w:p>
          <w:p w14:paraId="12815BAA" w14:textId="77777777" w:rsidR="00B34573" w:rsidRDefault="00B34573" w:rsidP="00E8727C">
            <w:pPr>
              <w:pStyle w:val="ListParagraph"/>
              <w:jc w:val="both"/>
            </w:pPr>
          </w:p>
          <w:p w14:paraId="07A6406F" w14:textId="77777777" w:rsidR="00B34573" w:rsidRDefault="00B34573" w:rsidP="00E8727C">
            <w:pPr>
              <w:pStyle w:val="ListParagraph"/>
              <w:jc w:val="both"/>
            </w:pPr>
          </w:p>
          <w:p w14:paraId="4DFD4DDC" w14:textId="77777777" w:rsidR="00B34573" w:rsidRDefault="00B34573" w:rsidP="00B34573">
            <w:pPr>
              <w:pStyle w:val="ListParagraph"/>
              <w:numPr>
                <w:ilvl w:val="0"/>
                <w:numId w:val="36"/>
              </w:numPr>
              <w:spacing w:after="0"/>
              <w:contextualSpacing/>
              <w:jc w:val="both"/>
            </w:pPr>
            <w:r>
              <w:t>Exit strategy</w:t>
            </w:r>
          </w:p>
        </w:tc>
        <w:tc>
          <w:tcPr>
            <w:tcW w:w="3117" w:type="dxa"/>
          </w:tcPr>
          <w:p w14:paraId="09A0D421" w14:textId="77777777" w:rsidR="00B34573" w:rsidRDefault="00B34573" w:rsidP="00E8727C">
            <w:pPr>
              <w:pStyle w:val="ListParagraph"/>
              <w:jc w:val="both"/>
            </w:pPr>
          </w:p>
          <w:p w14:paraId="79F6BC58" w14:textId="77777777" w:rsidR="00B34573" w:rsidRDefault="00B34573" w:rsidP="00B34573">
            <w:pPr>
              <w:pStyle w:val="ListParagraph"/>
              <w:numPr>
                <w:ilvl w:val="0"/>
                <w:numId w:val="36"/>
              </w:numPr>
              <w:spacing w:after="0"/>
              <w:contextualSpacing/>
            </w:pPr>
            <w:r>
              <w:t>Qualitative and quantitative (program specific)</w:t>
            </w:r>
          </w:p>
          <w:p w14:paraId="09A46B51" w14:textId="77777777" w:rsidR="00B34573" w:rsidRDefault="00B34573" w:rsidP="00E8727C">
            <w:pPr>
              <w:jc w:val="both"/>
            </w:pPr>
          </w:p>
          <w:p w14:paraId="03B5B2E9" w14:textId="77777777" w:rsidR="00B34573" w:rsidRDefault="00B34573" w:rsidP="00B34573">
            <w:pPr>
              <w:pStyle w:val="ListParagraph"/>
              <w:numPr>
                <w:ilvl w:val="0"/>
                <w:numId w:val="36"/>
              </w:numPr>
              <w:spacing w:after="0"/>
              <w:contextualSpacing/>
              <w:jc w:val="both"/>
            </w:pPr>
            <w:r>
              <w:t>Qualitative</w:t>
            </w:r>
          </w:p>
          <w:p w14:paraId="66245E9E" w14:textId="77777777" w:rsidR="00B34573" w:rsidRDefault="00B34573" w:rsidP="00E8727C">
            <w:pPr>
              <w:jc w:val="both"/>
            </w:pPr>
          </w:p>
          <w:p w14:paraId="1C4EB914" w14:textId="77777777" w:rsidR="00B34573" w:rsidRDefault="00B34573" w:rsidP="00B34573">
            <w:pPr>
              <w:pStyle w:val="ListParagraph"/>
              <w:numPr>
                <w:ilvl w:val="0"/>
                <w:numId w:val="36"/>
              </w:numPr>
              <w:spacing w:after="0"/>
              <w:contextualSpacing/>
            </w:pPr>
            <w:r>
              <w:t>Qualitative and quantitative (program specific)</w:t>
            </w:r>
          </w:p>
          <w:p w14:paraId="131EFA67" w14:textId="77777777" w:rsidR="00B34573" w:rsidRDefault="00B34573" w:rsidP="00E8727C">
            <w:pPr>
              <w:pStyle w:val="ListParagraph"/>
              <w:jc w:val="both"/>
            </w:pPr>
          </w:p>
          <w:p w14:paraId="2678F57F" w14:textId="77777777" w:rsidR="00B34573" w:rsidRDefault="00B34573" w:rsidP="00B34573">
            <w:pPr>
              <w:pStyle w:val="ListParagraph"/>
              <w:numPr>
                <w:ilvl w:val="0"/>
                <w:numId w:val="36"/>
              </w:numPr>
              <w:spacing w:after="0"/>
              <w:contextualSpacing/>
              <w:jc w:val="both"/>
            </w:pPr>
            <w:r>
              <w:t>Qualitative</w:t>
            </w:r>
          </w:p>
        </w:tc>
      </w:tr>
      <w:tr w:rsidR="00B34573" w14:paraId="4D721651" w14:textId="77777777" w:rsidTr="00B34573">
        <w:tc>
          <w:tcPr>
            <w:tcW w:w="2761" w:type="dxa"/>
          </w:tcPr>
          <w:p w14:paraId="79A834CC" w14:textId="77777777" w:rsidR="00B34573" w:rsidRPr="002D412B" w:rsidRDefault="00B34573" w:rsidP="00E8727C">
            <w:pPr>
              <w:jc w:val="both"/>
              <w:rPr>
                <w:b/>
              </w:rPr>
            </w:pPr>
            <w:r w:rsidRPr="002D412B">
              <w:rPr>
                <w:b/>
              </w:rPr>
              <w:lastRenderedPageBreak/>
              <w:t>Leverage</w:t>
            </w:r>
          </w:p>
        </w:tc>
        <w:tc>
          <w:tcPr>
            <w:tcW w:w="3117" w:type="dxa"/>
          </w:tcPr>
          <w:p w14:paraId="44FE6DB2" w14:textId="77777777" w:rsidR="00B34573" w:rsidRDefault="00B34573" w:rsidP="00B34573">
            <w:pPr>
              <w:pStyle w:val="ListParagraph"/>
              <w:numPr>
                <w:ilvl w:val="0"/>
                <w:numId w:val="36"/>
              </w:numPr>
              <w:spacing w:after="0"/>
              <w:contextualSpacing/>
              <w:jc w:val="both"/>
            </w:pPr>
            <w:r>
              <w:t>Financial benefit</w:t>
            </w:r>
          </w:p>
          <w:p w14:paraId="6FC31B9B" w14:textId="77777777" w:rsidR="00B34573" w:rsidRDefault="00B34573" w:rsidP="00B34573">
            <w:pPr>
              <w:pStyle w:val="ListParagraph"/>
              <w:numPr>
                <w:ilvl w:val="0"/>
                <w:numId w:val="36"/>
              </w:numPr>
              <w:spacing w:after="0"/>
              <w:contextualSpacing/>
              <w:jc w:val="both"/>
            </w:pPr>
            <w:r>
              <w:t>Strengthened capacity</w:t>
            </w:r>
          </w:p>
        </w:tc>
        <w:tc>
          <w:tcPr>
            <w:tcW w:w="3117" w:type="dxa"/>
          </w:tcPr>
          <w:p w14:paraId="2B06F043" w14:textId="77777777" w:rsidR="00B34573" w:rsidRDefault="00B34573" w:rsidP="00B34573">
            <w:pPr>
              <w:pStyle w:val="ListParagraph"/>
              <w:numPr>
                <w:ilvl w:val="0"/>
                <w:numId w:val="36"/>
              </w:numPr>
              <w:spacing w:after="0"/>
              <w:contextualSpacing/>
              <w:jc w:val="both"/>
            </w:pPr>
            <w:r>
              <w:t>$</w:t>
            </w:r>
          </w:p>
          <w:p w14:paraId="443C03FF" w14:textId="77777777" w:rsidR="00B34573" w:rsidRDefault="00B34573" w:rsidP="00B34573">
            <w:pPr>
              <w:pStyle w:val="ListParagraph"/>
              <w:numPr>
                <w:ilvl w:val="0"/>
                <w:numId w:val="36"/>
              </w:numPr>
              <w:spacing w:after="0"/>
              <w:contextualSpacing/>
              <w:jc w:val="both"/>
            </w:pPr>
            <w:r>
              <w:t>Qualitative</w:t>
            </w:r>
          </w:p>
        </w:tc>
      </w:tr>
      <w:tr w:rsidR="00B34573" w14:paraId="7B1265DE" w14:textId="77777777" w:rsidTr="00B34573">
        <w:tc>
          <w:tcPr>
            <w:tcW w:w="2761" w:type="dxa"/>
          </w:tcPr>
          <w:p w14:paraId="2CCF029C" w14:textId="77777777" w:rsidR="00B34573" w:rsidRPr="002D412B" w:rsidRDefault="00B34573" w:rsidP="00E8727C">
            <w:pPr>
              <w:jc w:val="both"/>
              <w:rPr>
                <w:b/>
              </w:rPr>
            </w:pPr>
            <w:r w:rsidRPr="002D412B">
              <w:rPr>
                <w:b/>
              </w:rPr>
              <w:t>Carbon Pricing</w:t>
            </w:r>
          </w:p>
        </w:tc>
        <w:tc>
          <w:tcPr>
            <w:tcW w:w="3117" w:type="dxa"/>
          </w:tcPr>
          <w:p w14:paraId="1CA3E4B4" w14:textId="77777777" w:rsidR="00B34573" w:rsidRDefault="00B34573" w:rsidP="00B34573">
            <w:pPr>
              <w:pStyle w:val="ListParagraph"/>
              <w:numPr>
                <w:ilvl w:val="0"/>
                <w:numId w:val="36"/>
              </w:numPr>
              <w:spacing w:after="0"/>
              <w:contextualSpacing/>
            </w:pPr>
            <w:r>
              <w:t>Carbon price signal</w:t>
            </w:r>
          </w:p>
          <w:p w14:paraId="5689928C" w14:textId="77777777" w:rsidR="00B34573" w:rsidRDefault="00B34573" w:rsidP="00B34573">
            <w:pPr>
              <w:pStyle w:val="ListParagraph"/>
              <w:numPr>
                <w:ilvl w:val="0"/>
                <w:numId w:val="36"/>
              </w:numPr>
              <w:spacing w:after="0"/>
              <w:contextualSpacing/>
            </w:pPr>
            <w:r>
              <w:t>Recipients of price signal</w:t>
            </w:r>
          </w:p>
          <w:p w14:paraId="76C7F7CC" w14:textId="77777777" w:rsidR="00B34573" w:rsidRDefault="00B34573" w:rsidP="00B34573">
            <w:pPr>
              <w:pStyle w:val="ListParagraph"/>
              <w:numPr>
                <w:ilvl w:val="0"/>
                <w:numId w:val="36"/>
              </w:numPr>
              <w:spacing w:after="0"/>
              <w:contextualSpacing/>
            </w:pPr>
            <w:r>
              <w:t>Support of domestic carbon pricing through capacity building and stakeholder engagement</w:t>
            </w:r>
          </w:p>
          <w:p w14:paraId="707A3F5F" w14:textId="77777777" w:rsidR="00B34573" w:rsidRDefault="00B34573" w:rsidP="00B34573">
            <w:pPr>
              <w:pStyle w:val="ListParagraph"/>
              <w:numPr>
                <w:ilvl w:val="0"/>
                <w:numId w:val="36"/>
              </w:numPr>
              <w:spacing w:after="0"/>
              <w:contextualSpacing/>
            </w:pPr>
            <w:r>
              <w:t>Replicability international carbon market</w:t>
            </w:r>
          </w:p>
          <w:p w14:paraId="1CDE1FDE" w14:textId="77777777" w:rsidR="00B34573" w:rsidRDefault="00B34573" w:rsidP="00B34573">
            <w:pPr>
              <w:pStyle w:val="ListParagraph"/>
              <w:numPr>
                <w:ilvl w:val="0"/>
                <w:numId w:val="36"/>
              </w:numPr>
              <w:spacing w:after="0"/>
              <w:contextualSpacing/>
              <w:jc w:val="both"/>
            </w:pPr>
            <w:r>
              <w:t>Impact on Article 6</w:t>
            </w:r>
          </w:p>
        </w:tc>
        <w:tc>
          <w:tcPr>
            <w:tcW w:w="3117" w:type="dxa"/>
          </w:tcPr>
          <w:p w14:paraId="107940F9" w14:textId="77777777" w:rsidR="00B34573" w:rsidRDefault="00B34573" w:rsidP="00B34573">
            <w:pPr>
              <w:pStyle w:val="ListParagraph"/>
              <w:numPr>
                <w:ilvl w:val="0"/>
                <w:numId w:val="36"/>
              </w:numPr>
              <w:spacing w:after="0"/>
              <w:contextualSpacing/>
              <w:jc w:val="both"/>
            </w:pPr>
            <w:r>
              <w:t>$/t</w:t>
            </w:r>
          </w:p>
          <w:p w14:paraId="16BE4236" w14:textId="77777777" w:rsidR="00B34573" w:rsidRDefault="00B34573" w:rsidP="00B34573">
            <w:pPr>
              <w:pStyle w:val="ListParagraph"/>
              <w:numPr>
                <w:ilvl w:val="0"/>
                <w:numId w:val="36"/>
              </w:numPr>
              <w:spacing w:after="0"/>
              <w:contextualSpacing/>
            </w:pPr>
            <w:r>
              <w:t>Qualitative and quantitative (#)</w:t>
            </w:r>
          </w:p>
          <w:p w14:paraId="1BFEDC79" w14:textId="77777777" w:rsidR="00B34573" w:rsidRDefault="00B34573" w:rsidP="00E8727C">
            <w:pPr>
              <w:pStyle w:val="ListParagraph"/>
              <w:jc w:val="both"/>
            </w:pPr>
          </w:p>
          <w:p w14:paraId="1B5CD30B" w14:textId="77777777" w:rsidR="00B34573" w:rsidRDefault="00B34573" w:rsidP="00B34573">
            <w:pPr>
              <w:pStyle w:val="ListParagraph"/>
              <w:numPr>
                <w:ilvl w:val="0"/>
                <w:numId w:val="36"/>
              </w:numPr>
              <w:spacing w:after="0"/>
              <w:contextualSpacing/>
              <w:jc w:val="both"/>
            </w:pPr>
            <w:r>
              <w:t>Qualitative</w:t>
            </w:r>
          </w:p>
          <w:p w14:paraId="5319129B" w14:textId="77777777" w:rsidR="00B34573" w:rsidRDefault="00B34573" w:rsidP="00E8727C">
            <w:pPr>
              <w:jc w:val="both"/>
            </w:pPr>
          </w:p>
          <w:p w14:paraId="03EB9456" w14:textId="77777777" w:rsidR="00B34573" w:rsidRDefault="00B34573" w:rsidP="00E8727C">
            <w:pPr>
              <w:jc w:val="both"/>
            </w:pPr>
          </w:p>
          <w:p w14:paraId="7FA65A6A" w14:textId="77777777" w:rsidR="00B34573" w:rsidRDefault="00B34573" w:rsidP="00E8727C">
            <w:pPr>
              <w:jc w:val="both"/>
            </w:pPr>
          </w:p>
          <w:p w14:paraId="2BE79709" w14:textId="77777777" w:rsidR="00B34573" w:rsidRDefault="00B34573" w:rsidP="00E8727C">
            <w:pPr>
              <w:jc w:val="both"/>
            </w:pPr>
          </w:p>
          <w:p w14:paraId="6E99F7ED" w14:textId="77777777" w:rsidR="00B34573" w:rsidRDefault="00B34573" w:rsidP="00B34573">
            <w:pPr>
              <w:pStyle w:val="ListParagraph"/>
              <w:numPr>
                <w:ilvl w:val="0"/>
                <w:numId w:val="36"/>
              </w:numPr>
              <w:spacing w:after="0"/>
              <w:contextualSpacing/>
              <w:jc w:val="both"/>
            </w:pPr>
            <w:r>
              <w:t xml:space="preserve"># Replicated Programs </w:t>
            </w:r>
          </w:p>
          <w:p w14:paraId="23C94020" w14:textId="77777777" w:rsidR="00B34573" w:rsidRDefault="00B34573" w:rsidP="00E8727C">
            <w:pPr>
              <w:pStyle w:val="ListParagraph"/>
              <w:jc w:val="both"/>
            </w:pPr>
          </w:p>
          <w:p w14:paraId="7AADDD5E" w14:textId="77777777" w:rsidR="00B34573" w:rsidRDefault="00B34573" w:rsidP="00B34573">
            <w:pPr>
              <w:pStyle w:val="ListParagraph"/>
              <w:numPr>
                <w:ilvl w:val="0"/>
                <w:numId w:val="36"/>
              </w:numPr>
              <w:spacing w:after="0"/>
              <w:contextualSpacing/>
              <w:jc w:val="both"/>
            </w:pPr>
            <w:r>
              <w:t>Qualitative</w:t>
            </w:r>
          </w:p>
        </w:tc>
      </w:tr>
    </w:tbl>
    <w:p w14:paraId="564EF2A6" w14:textId="107C9065" w:rsidR="00B34573" w:rsidRDefault="00B34573" w:rsidP="00B34573">
      <w:pPr>
        <w:pStyle w:val="ListParagraph"/>
        <w:autoSpaceDE w:val="0"/>
        <w:autoSpaceDN w:val="0"/>
        <w:adjustRightInd w:val="0"/>
        <w:spacing w:after="240" w:line="240" w:lineRule="auto"/>
        <w:ind w:left="450"/>
        <w:jc w:val="both"/>
      </w:pPr>
    </w:p>
    <w:p w14:paraId="00F579C0" w14:textId="70501D33" w:rsidR="00B34573" w:rsidRDefault="00B34573" w:rsidP="00B34573">
      <w:pPr>
        <w:autoSpaceDE w:val="0"/>
        <w:autoSpaceDN w:val="0"/>
        <w:adjustRightInd w:val="0"/>
        <w:spacing w:after="240" w:line="240" w:lineRule="auto"/>
        <w:ind w:left="450" w:hanging="450"/>
        <w:jc w:val="both"/>
      </w:pPr>
      <w:r>
        <w:t>-    In describing the transformation potential, please explain how the proposed crediting program will support domestic carbon pricing.</w:t>
      </w:r>
      <w:r w:rsidRPr="004E357D">
        <w:t xml:space="preserve"> </w:t>
      </w:r>
      <w:r>
        <w:t>I</w:t>
      </w:r>
      <w:r>
        <w:rPr>
          <w:color w:val="000000" w:themeColor="text1"/>
        </w:rPr>
        <w:t xml:space="preserve">dentify TCAF’s support falling into one of the four areas in the matrix described below. </w:t>
      </w:r>
    </w:p>
    <w:p w14:paraId="644C5E30" w14:textId="77777777" w:rsidR="00B34573" w:rsidRPr="00BC5009" w:rsidRDefault="00B34573" w:rsidP="00B34573">
      <w:pPr>
        <w:pStyle w:val="ListParagraph"/>
        <w:spacing w:after="60" w:line="240" w:lineRule="auto"/>
        <w:ind w:left="360"/>
        <w:contextualSpacing/>
      </w:pPr>
      <w:r>
        <w:t xml:space="preserve"> </w:t>
      </w:r>
      <w:r w:rsidRPr="001A175D">
        <w:rPr>
          <w:highlight w:val="yellow"/>
        </w:rPr>
        <w:t>Matrix of TCAF’s potential support to domestic carbon pricing</w:t>
      </w:r>
    </w:p>
    <w:tbl>
      <w:tblPr>
        <w:tblStyle w:val="TableGrid"/>
        <w:tblW w:w="8910" w:type="dxa"/>
        <w:tblInd w:w="355" w:type="dxa"/>
        <w:tblLook w:val="04A0" w:firstRow="1" w:lastRow="0" w:firstColumn="1" w:lastColumn="0" w:noHBand="0" w:noVBand="1"/>
      </w:tblPr>
      <w:tblGrid>
        <w:gridCol w:w="2160"/>
        <w:gridCol w:w="3420"/>
        <w:gridCol w:w="3330"/>
      </w:tblGrid>
      <w:tr w:rsidR="00B34573" w14:paraId="74F4E25A" w14:textId="77777777" w:rsidTr="00E8727C">
        <w:tc>
          <w:tcPr>
            <w:tcW w:w="2160" w:type="dxa"/>
          </w:tcPr>
          <w:p w14:paraId="60C6546B" w14:textId="77777777" w:rsidR="00B34573" w:rsidRDefault="00B34573" w:rsidP="00E8727C">
            <w:pPr>
              <w:jc w:val="both"/>
            </w:pPr>
          </w:p>
        </w:tc>
        <w:tc>
          <w:tcPr>
            <w:tcW w:w="3420" w:type="dxa"/>
          </w:tcPr>
          <w:p w14:paraId="33A17147" w14:textId="77777777" w:rsidR="00B34573" w:rsidRDefault="00B34573" w:rsidP="00E8727C">
            <w:pPr>
              <w:jc w:val="both"/>
            </w:pPr>
            <w:r>
              <w:t>Implicit domestic carbon pricing</w:t>
            </w:r>
          </w:p>
        </w:tc>
        <w:tc>
          <w:tcPr>
            <w:tcW w:w="3330" w:type="dxa"/>
          </w:tcPr>
          <w:p w14:paraId="5383738E" w14:textId="77777777" w:rsidR="00B34573" w:rsidRDefault="00B34573" w:rsidP="00E8727C">
            <w:pPr>
              <w:jc w:val="both"/>
            </w:pPr>
            <w:r>
              <w:t>Explicit domestic carbon pricing</w:t>
            </w:r>
          </w:p>
        </w:tc>
      </w:tr>
      <w:tr w:rsidR="00B34573" w14:paraId="1D6EA04E" w14:textId="77777777" w:rsidTr="00E8727C">
        <w:tc>
          <w:tcPr>
            <w:tcW w:w="2160" w:type="dxa"/>
          </w:tcPr>
          <w:p w14:paraId="719C99BE" w14:textId="1868FEB0" w:rsidR="00B34573" w:rsidRDefault="00A34E2C" w:rsidP="48A8463B">
            <w:r>
              <w:t xml:space="preserve">Direct </w:t>
            </w:r>
            <w:r w:rsidR="00B34573">
              <w:t xml:space="preserve">TCAF </w:t>
            </w:r>
            <w:r w:rsidR="00CD2685">
              <w:t>support</w:t>
            </w:r>
          </w:p>
        </w:tc>
        <w:tc>
          <w:tcPr>
            <w:tcW w:w="3420" w:type="dxa"/>
          </w:tcPr>
          <w:p w14:paraId="1FC30264" w14:textId="77777777" w:rsidR="00B34573" w:rsidRDefault="00B34573" w:rsidP="00E8727C">
            <w:pPr>
              <w:pStyle w:val="ListParagraph"/>
              <w:numPr>
                <w:ilvl w:val="0"/>
                <w:numId w:val="35"/>
              </w:numPr>
              <w:spacing w:after="60"/>
              <w:ind w:left="49" w:hanging="49"/>
              <w:contextualSpacing/>
            </w:pPr>
            <w:r>
              <w:t>Crediting of emission reductions achieved through regulatory policy or non-carbon based pricing policies/reforms</w:t>
            </w:r>
          </w:p>
          <w:p w14:paraId="173F6D41" w14:textId="77777777" w:rsidR="00B34573" w:rsidRDefault="00B34573" w:rsidP="00E8727C">
            <w:pPr>
              <w:ind w:left="360" w:hanging="360"/>
            </w:pPr>
          </w:p>
          <w:p w14:paraId="774F0F8E" w14:textId="77777777" w:rsidR="00B34573" w:rsidRDefault="00B34573" w:rsidP="00E8727C">
            <w:pPr>
              <w:ind w:left="-18" w:firstLine="18"/>
            </w:pPr>
            <w:r>
              <w:t xml:space="preserve">Example: crediting of a renewable energy program supported by a feed-in tariff system </w:t>
            </w:r>
          </w:p>
        </w:tc>
        <w:tc>
          <w:tcPr>
            <w:tcW w:w="3330" w:type="dxa"/>
          </w:tcPr>
          <w:p w14:paraId="2F14BC96" w14:textId="77777777" w:rsidR="00B34573" w:rsidRDefault="00B34573" w:rsidP="00E8727C">
            <w:pPr>
              <w:pStyle w:val="ListParagraph"/>
              <w:numPr>
                <w:ilvl w:val="0"/>
                <w:numId w:val="35"/>
              </w:numPr>
              <w:spacing w:after="60"/>
              <w:ind w:left="72" w:firstLine="0"/>
              <w:contextualSpacing/>
            </w:pPr>
            <w:r>
              <w:t xml:space="preserve">Crediting of emission reductions achieved through or above a carbon tax or ETS </w:t>
            </w:r>
          </w:p>
          <w:p w14:paraId="4993A607" w14:textId="77777777" w:rsidR="00B34573" w:rsidRDefault="00B34573" w:rsidP="00E8727C">
            <w:pPr>
              <w:pStyle w:val="ListParagraph"/>
              <w:ind w:left="72"/>
            </w:pPr>
          </w:p>
          <w:p w14:paraId="405524B9" w14:textId="77777777" w:rsidR="00B34573" w:rsidRDefault="00B34573" w:rsidP="00E8727C">
            <w:pPr>
              <w:pStyle w:val="ListParagraph"/>
              <w:ind w:left="72"/>
            </w:pPr>
            <w:r>
              <w:t xml:space="preserve">Example: Crediting of emission reductions achieved by a carbon tax above a defined threshold </w:t>
            </w:r>
          </w:p>
        </w:tc>
      </w:tr>
      <w:tr w:rsidR="00B34573" w14:paraId="4763905D" w14:textId="77777777" w:rsidTr="00E8727C">
        <w:tc>
          <w:tcPr>
            <w:tcW w:w="2160" w:type="dxa"/>
          </w:tcPr>
          <w:p w14:paraId="380894AC" w14:textId="77777777" w:rsidR="00B34573" w:rsidRDefault="00B34573" w:rsidP="00E8727C">
            <w:pPr>
              <w:jc w:val="both"/>
            </w:pPr>
            <w:r>
              <w:t>Indirect TCAF support</w:t>
            </w:r>
          </w:p>
        </w:tc>
        <w:tc>
          <w:tcPr>
            <w:tcW w:w="3420" w:type="dxa"/>
          </w:tcPr>
          <w:p w14:paraId="3C3C5723" w14:textId="77777777" w:rsidR="00B34573" w:rsidRDefault="00B34573" w:rsidP="00E8727C">
            <w:pPr>
              <w:pStyle w:val="ListParagraph"/>
              <w:numPr>
                <w:ilvl w:val="0"/>
                <w:numId w:val="35"/>
              </w:numPr>
              <w:spacing w:after="60"/>
              <w:ind w:left="-18" w:firstLine="0"/>
              <w:contextualSpacing/>
            </w:pPr>
            <w:r>
              <w:t>TCAF program builds infrastructure used for implicit domestic carbon pricing</w:t>
            </w:r>
          </w:p>
          <w:p w14:paraId="71E7AC95" w14:textId="77777777" w:rsidR="00B34573" w:rsidRDefault="00B34573" w:rsidP="00E8727C">
            <w:pPr>
              <w:ind w:left="360"/>
            </w:pPr>
          </w:p>
          <w:p w14:paraId="5FD4CC49" w14:textId="77777777" w:rsidR="00B34573" w:rsidRDefault="00B34573" w:rsidP="00E8727C">
            <w:pPr>
              <w:ind w:left="-18"/>
            </w:pPr>
            <w:r>
              <w:t>Example: provision of benchmarks and MRV in a TCAF energy efficiency program that are used by the host country to implement a mandatory energy efficiency standard</w:t>
            </w:r>
          </w:p>
        </w:tc>
        <w:tc>
          <w:tcPr>
            <w:tcW w:w="3330" w:type="dxa"/>
          </w:tcPr>
          <w:p w14:paraId="01ADE59D" w14:textId="77777777" w:rsidR="00B34573" w:rsidRDefault="00B34573" w:rsidP="00E8727C">
            <w:pPr>
              <w:pStyle w:val="ListParagraph"/>
              <w:numPr>
                <w:ilvl w:val="0"/>
                <w:numId w:val="35"/>
              </w:numPr>
              <w:spacing w:after="60"/>
              <w:ind w:left="72" w:firstLine="0"/>
              <w:contextualSpacing/>
            </w:pPr>
            <w:r>
              <w:t>TCAF program builds infrastructure used for explicit domestic carbon pricing</w:t>
            </w:r>
          </w:p>
          <w:p w14:paraId="074E6A64" w14:textId="77777777" w:rsidR="00B34573" w:rsidRDefault="00B34573" w:rsidP="00E8727C">
            <w:pPr>
              <w:ind w:left="72"/>
            </w:pPr>
          </w:p>
          <w:p w14:paraId="66543434" w14:textId="77777777" w:rsidR="00B34573" w:rsidRDefault="00B34573" w:rsidP="00E8727C">
            <w:pPr>
              <w:ind w:left="72"/>
            </w:pPr>
            <w:r>
              <w:t>Example: Facility level MRV developed for a TCAF energy sector program that is used by the host country to implement an ETS.</w:t>
            </w:r>
          </w:p>
        </w:tc>
      </w:tr>
    </w:tbl>
    <w:p w14:paraId="15BC384D" w14:textId="49B44F44" w:rsidR="00B34573" w:rsidRPr="00AD38AF" w:rsidRDefault="00B34573" w:rsidP="00B34573">
      <w:pPr>
        <w:autoSpaceDE w:val="0"/>
        <w:autoSpaceDN w:val="0"/>
        <w:adjustRightInd w:val="0"/>
        <w:spacing w:after="240" w:line="240" w:lineRule="auto"/>
        <w:jc w:val="both"/>
      </w:pPr>
    </w:p>
    <w:p w14:paraId="46F0B388" w14:textId="29975CBB" w:rsidR="00AD38AF" w:rsidRDefault="00AD38AF" w:rsidP="00AD38AF">
      <w:pPr>
        <w:numPr>
          <w:ilvl w:val="0"/>
          <w:numId w:val="16"/>
        </w:numPr>
        <w:autoSpaceDE w:val="0"/>
        <w:autoSpaceDN w:val="0"/>
        <w:adjustRightInd w:val="0"/>
        <w:spacing w:after="240" w:line="240" w:lineRule="auto"/>
        <w:ind w:hanging="450"/>
        <w:contextualSpacing/>
        <w:jc w:val="both"/>
        <w:rPr>
          <w:rFonts w:eastAsiaTheme="majorEastAsia" w:cstheme="majorBidi"/>
          <w:color w:val="365F91" w:themeColor="accent1" w:themeShade="BF"/>
          <w:sz w:val="24"/>
          <w:szCs w:val="24"/>
        </w:rPr>
      </w:pPr>
      <w:r w:rsidRPr="00AD38AF">
        <w:rPr>
          <w:rFonts w:eastAsiaTheme="majorEastAsia" w:cstheme="majorBidi"/>
          <w:color w:val="365F91" w:themeColor="accent1" w:themeShade="BF"/>
          <w:sz w:val="24"/>
          <w:szCs w:val="24"/>
        </w:rPr>
        <w:t xml:space="preserve">Size of the mitigation </w:t>
      </w:r>
      <w:r w:rsidR="004C5F76">
        <w:rPr>
          <w:rFonts w:eastAsiaTheme="majorEastAsia" w:cstheme="majorBidi"/>
          <w:color w:val="365F91" w:themeColor="accent1" w:themeShade="BF"/>
          <w:sz w:val="24"/>
          <w:szCs w:val="24"/>
        </w:rPr>
        <w:t>outcome</w:t>
      </w:r>
      <w:r w:rsidRPr="00AD38AF">
        <w:rPr>
          <w:rFonts w:eastAsiaTheme="majorEastAsia" w:cstheme="majorBidi"/>
          <w:color w:val="365F91" w:themeColor="accent1" w:themeShade="BF"/>
          <w:sz w:val="24"/>
          <w:szCs w:val="24"/>
        </w:rPr>
        <w:t>/potential for scaling up</w:t>
      </w:r>
    </w:p>
    <w:p w14:paraId="1713D59B" w14:textId="59BF031D" w:rsidR="00AF4A3F" w:rsidRDefault="00AF4A3F" w:rsidP="00BC6D7F">
      <w:pPr>
        <w:pStyle w:val="ListParagraph"/>
        <w:numPr>
          <w:ilvl w:val="0"/>
          <w:numId w:val="15"/>
        </w:numPr>
        <w:spacing w:before="120"/>
        <w:ind w:left="450" w:hanging="450"/>
        <w:jc w:val="both"/>
      </w:pPr>
      <w:r>
        <w:t xml:space="preserve">Describe broad baseline approach and how it </w:t>
      </w:r>
      <w:r w:rsidR="00096F1C">
        <w:t>reflects the unconditional target of the</w:t>
      </w:r>
      <w:r>
        <w:t xml:space="preserve"> Nationally Determined Contribution (NDC). </w:t>
      </w:r>
    </w:p>
    <w:p w14:paraId="697859F3" w14:textId="727DE738" w:rsidR="008F03B6" w:rsidRDefault="00506C39" w:rsidP="009E4312">
      <w:pPr>
        <w:pStyle w:val="ListParagraph"/>
        <w:numPr>
          <w:ilvl w:val="0"/>
          <w:numId w:val="15"/>
        </w:numPr>
        <w:spacing w:before="120"/>
        <w:ind w:left="450" w:hanging="450"/>
        <w:jc w:val="both"/>
      </w:pPr>
      <w:r>
        <w:lastRenderedPageBreak/>
        <w:t>One of TCAF’s selection criteria is</w:t>
      </w:r>
      <w:r w:rsidR="003D6D24">
        <w:t xml:space="preserve"> that the program should </w:t>
      </w:r>
      <w:r w:rsidR="00E77472">
        <w:t>generate</w:t>
      </w:r>
      <w:r w:rsidR="003D6D24">
        <w:t xml:space="preserve"> 5 million tons of emission reductions over 5-7 year payment period</w:t>
      </w:r>
      <w:r w:rsidR="00693CCA">
        <w:t xml:space="preserve"> of 2021-2027</w:t>
      </w:r>
      <w:r w:rsidR="003D6D24">
        <w:t xml:space="preserve">.  </w:t>
      </w:r>
      <w:r w:rsidR="00693CCA">
        <w:t>Please e</w:t>
      </w:r>
      <w:r w:rsidR="00A03851">
        <w:t>stimate</w:t>
      </w:r>
      <w:r w:rsidR="008F03B6" w:rsidRPr="008F03B6">
        <w:t xml:space="preserve"> the emissions reductions from the program. </w:t>
      </w:r>
    </w:p>
    <w:p w14:paraId="5AF866F3" w14:textId="3F92DF5A" w:rsidR="00BC6D7F" w:rsidRDefault="00BC6D7F" w:rsidP="008F03B6">
      <w:pPr>
        <w:pStyle w:val="ListParagraph"/>
        <w:numPr>
          <w:ilvl w:val="0"/>
          <w:numId w:val="15"/>
        </w:numPr>
        <w:spacing w:before="120"/>
        <w:jc w:val="both"/>
      </w:pPr>
      <w:r w:rsidRPr="00872418">
        <w:t xml:space="preserve">For </w:t>
      </w:r>
      <w:r w:rsidR="004D3644">
        <w:t>sectoral policies supported by investment</w:t>
      </w:r>
      <w:r w:rsidRPr="00872418">
        <w:t>, please link the ER estimate directly with the financing status.  It is preferred that secure</w:t>
      </w:r>
      <w:r>
        <w:t>d</w:t>
      </w:r>
      <w:r w:rsidRPr="00872418">
        <w:t xml:space="preserve"> financing can achieve</w:t>
      </w:r>
      <w:r>
        <w:t xml:space="preserve"> at least ¼ of</w:t>
      </w:r>
      <w:r w:rsidRPr="00872418">
        <w:t xml:space="preserve"> the required minimum volume </w:t>
      </w:r>
      <w:r>
        <w:t>(</w:t>
      </w:r>
      <w:r w:rsidRPr="00872418">
        <w:t>5 million ERs over 5-7 years</w:t>
      </w:r>
      <w:proofErr w:type="gramStart"/>
      <w:r>
        <w:t>);</w:t>
      </w:r>
      <w:proofErr w:type="gramEnd"/>
    </w:p>
    <w:p w14:paraId="5CC61F9F" w14:textId="37289C7F" w:rsidR="008F03B6" w:rsidRDefault="004D3644" w:rsidP="008F03B6">
      <w:pPr>
        <w:pStyle w:val="ListParagraph"/>
        <w:numPr>
          <w:ilvl w:val="0"/>
          <w:numId w:val="15"/>
        </w:numPr>
        <w:spacing w:before="120"/>
        <w:jc w:val="both"/>
      </w:pPr>
      <w:r>
        <w:t xml:space="preserve">For </w:t>
      </w:r>
      <w:r w:rsidR="00BC6D7F" w:rsidRPr="00872418">
        <w:t xml:space="preserve">policy measures, please </w:t>
      </w:r>
      <w:r w:rsidR="00BC6D7F">
        <w:t xml:space="preserve">estimate ER based on realistic program start date and implementation </w:t>
      </w:r>
      <w:proofErr w:type="gramStart"/>
      <w:r w:rsidR="00BC6D7F">
        <w:t>timetable;</w:t>
      </w:r>
      <w:proofErr w:type="gramEnd"/>
      <w:r w:rsidR="008F03B6" w:rsidRPr="008F03B6">
        <w:t xml:space="preserve"> </w:t>
      </w:r>
    </w:p>
    <w:p w14:paraId="565BF2C0" w14:textId="07D5606B" w:rsidR="00BC6D7F" w:rsidRDefault="008F03B6" w:rsidP="008F03B6">
      <w:pPr>
        <w:pStyle w:val="ListParagraph"/>
        <w:numPr>
          <w:ilvl w:val="0"/>
          <w:numId w:val="15"/>
        </w:numPr>
        <w:spacing w:before="120"/>
        <w:ind w:left="450" w:hanging="450"/>
        <w:jc w:val="both"/>
      </w:pPr>
      <w:r w:rsidRPr="008F03B6">
        <w:t>What percentage/amount of those ERs would be retained to count for implementing country’s own contribution? what percentage/</w:t>
      </w:r>
      <w:r w:rsidR="00B34573">
        <w:t>amount of</w:t>
      </w:r>
      <w:r w:rsidRPr="008F03B6">
        <w:t xml:space="preserve"> those ERs would be transferred t</w:t>
      </w:r>
      <w:r w:rsidR="00096F1C">
        <w:t>o</w:t>
      </w:r>
      <w:r w:rsidRPr="008F03B6">
        <w:t xml:space="preserve"> TCAF?</w:t>
      </w:r>
    </w:p>
    <w:p w14:paraId="0C8742E3" w14:textId="3C4CDFE4" w:rsidR="00751375" w:rsidRPr="00114304" w:rsidRDefault="00751375" w:rsidP="008F03B6">
      <w:pPr>
        <w:pStyle w:val="ListParagraph"/>
        <w:numPr>
          <w:ilvl w:val="0"/>
          <w:numId w:val="15"/>
        </w:numPr>
        <w:spacing w:before="120"/>
        <w:ind w:left="450" w:hanging="450"/>
        <w:jc w:val="both"/>
      </w:pPr>
      <w:r>
        <w:t xml:space="preserve">Confirm that the Host government </w:t>
      </w:r>
      <w:r w:rsidR="00C4076E">
        <w:t>understands the requirement of Corresponding Adjustment (CA)</w:t>
      </w:r>
      <w:r w:rsidR="00C4076E">
        <w:rPr>
          <w:rStyle w:val="FootnoteReference"/>
        </w:rPr>
        <w:footnoteReference w:id="3"/>
      </w:r>
      <w:r w:rsidR="00C4076E">
        <w:t xml:space="preserve"> in order to participate in the carbon transaction under Article 6 of the Paris </w:t>
      </w:r>
      <w:proofErr w:type="gramStart"/>
      <w:r w:rsidR="00C4076E">
        <w:t xml:space="preserve">Agreement,  </w:t>
      </w:r>
      <w:r w:rsidR="00BA0BA3">
        <w:t>is</w:t>
      </w:r>
      <w:proofErr w:type="gramEnd"/>
      <w:r w:rsidR="00BA0BA3">
        <w:t xml:space="preserve"> interested in </w:t>
      </w:r>
      <w:r w:rsidR="008C2973">
        <w:t>carbon market transaction in Paris Agreement,</w:t>
      </w:r>
      <w:r w:rsidR="00C4076E">
        <w:t xml:space="preserve"> and would consider authorizing Article 6 transaction after it completes the necessary capacity building and analytical work under Phase I engagement of TCAF. </w:t>
      </w:r>
      <w:r w:rsidR="008C2973">
        <w:t xml:space="preserve"> </w:t>
      </w:r>
    </w:p>
    <w:p w14:paraId="5B8B2A29" w14:textId="77777777" w:rsidR="00AD38AF" w:rsidRDefault="00AD38AF" w:rsidP="00AD38AF">
      <w:pPr>
        <w:numPr>
          <w:ilvl w:val="0"/>
          <w:numId w:val="16"/>
        </w:numPr>
        <w:spacing w:after="240"/>
        <w:ind w:hanging="450"/>
        <w:contextualSpacing/>
        <w:jc w:val="both"/>
        <w:rPr>
          <w:rFonts w:eastAsiaTheme="majorEastAsia" w:cstheme="majorBidi"/>
          <w:color w:val="365F91" w:themeColor="accent1" w:themeShade="BF"/>
          <w:sz w:val="24"/>
          <w:szCs w:val="24"/>
        </w:rPr>
      </w:pPr>
      <w:r w:rsidRPr="00AD38AF">
        <w:rPr>
          <w:rFonts w:eastAsiaTheme="majorEastAsia" w:cstheme="majorBidi"/>
          <w:color w:val="365F91" w:themeColor="accent1" w:themeShade="BF"/>
          <w:sz w:val="24"/>
          <w:szCs w:val="24"/>
        </w:rPr>
        <w:t xml:space="preserve">Envisaged carbon finance payment  </w:t>
      </w:r>
    </w:p>
    <w:p w14:paraId="4F913A9C" w14:textId="717B099A" w:rsidR="00BC6D7F" w:rsidRDefault="00BC6D7F" w:rsidP="004E75DB">
      <w:pPr>
        <w:autoSpaceDE w:val="0"/>
        <w:autoSpaceDN w:val="0"/>
        <w:adjustRightInd w:val="0"/>
        <w:spacing w:after="240" w:line="240" w:lineRule="auto"/>
        <w:ind w:left="450" w:hanging="450"/>
        <w:jc w:val="both"/>
      </w:pPr>
      <w:r>
        <w:t>-        What is the total payment envelope that the program will be requesting</w:t>
      </w:r>
      <w:r w:rsidR="00213747">
        <w:t xml:space="preserve">, </w:t>
      </w:r>
      <w:r w:rsidR="00CC3D48">
        <w:t>understanding that TCAF’s payment will be divided into two phases</w:t>
      </w:r>
      <w:r w:rsidR="00484331">
        <w:t xml:space="preserve">, financed by different funding </w:t>
      </w:r>
      <w:proofErr w:type="gramStart"/>
      <w:r w:rsidR="00484331">
        <w:t>source</w:t>
      </w:r>
      <w:r w:rsidR="00052447">
        <w:t>s</w:t>
      </w:r>
      <w:proofErr w:type="gramEnd"/>
      <w:r w:rsidR="00484331">
        <w:t xml:space="preserve"> and depending on whether the host government will authorize the </w:t>
      </w:r>
      <w:r w:rsidR="004E75DB">
        <w:t>Article 6 transaction</w:t>
      </w:r>
      <w:r>
        <w:t xml:space="preserve">? </w:t>
      </w:r>
      <w:r w:rsidR="004E75DB">
        <w:rPr>
          <w:rStyle w:val="FootnoteReference"/>
        </w:rPr>
        <w:footnoteReference w:id="4"/>
      </w:r>
    </w:p>
    <w:p w14:paraId="18736015" w14:textId="579B0302" w:rsidR="007228EB" w:rsidRDefault="00BC6D7F" w:rsidP="007228EB">
      <w:pPr>
        <w:autoSpaceDE w:val="0"/>
        <w:autoSpaceDN w:val="0"/>
        <w:adjustRightInd w:val="0"/>
        <w:spacing w:after="240" w:line="240" w:lineRule="auto"/>
        <w:ind w:left="450" w:hanging="450"/>
        <w:jc w:val="both"/>
      </w:pPr>
      <w:r>
        <w:t>-</w:t>
      </w:r>
      <w:r>
        <w:tab/>
        <w:t xml:space="preserve">How the carbon finance payment is envisaged to be used? </w:t>
      </w:r>
      <w:proofErr w:type="gramStart"/>
      <w:r>
        <w:t>e.g.</w:t>
      </w:r>
      <w:proofErr w:type="gramEnd"/>
      <w:r>
        <w:t xml:space="preserve"> removing barriers for policy implementation (please specify the barriers), supporting preparation of subsequent investment activities, building MRV capacity, replenishing the funding mechanism to </w:t>
      </w:r>
      <w:r w:rsidR="00171245">
        <w:t>incentivize mitigation activities</w:t>
      </w:r>
      <w:r>
        <w:t>, etc.;</w:t>
      </w:r>
    </w:p>
    <w:p w14:paraId="46888B58" w14:textId="7AF5852F" w:rsidR="007228EB" w:rsidRDefault="007228EB" w:rsidP="007228EB">
      <w:pPr>
        <w:autoSpaceDE w:val="0"/>
        <w:autoSpaceDN w:val="0"/>
        <w:adjustRightInd w:val="0"/>
        <w:spacing w:after="240" w:line="240" w:lineRule="auto"/>
        <w:ind w:left="450" w:hanging="450"/>
        <w:jc w:val="both"/>
      </w:pPr>
      <w:r>
        <w:t xml:space="preserve">- </w:t>
      </w:r>
      <w:r>
        <w:tab/>
      </w:r>
      <w:r w:rsidRPr="007228EB">
        <w:t>Please articulate the relationship of TCAF</w:t>
      </w:r>
      <w:r>
        <w:t xml:space="preserve"> with other</w:t>
      </w:r>
      <w:r w:rsidRPr="007228EB">
        <w:t xml:space="preserve"> funding instruments and why it is needed in that particular circumstance/ adds value. </w:t>
      </w:r>
    </w:p>
    <w:p w14:paraId="48DDF10D" w14:textId="77777777" w:rsidR="009502DD" w:rsidRDefault="00BC6D7F" w:rsidP="009502DD">
      <w:pPr>
        <w:autoSpaceDE w:val="0"/>
        <w:autoSpaceDN w:val="0"/>
        <w:adjustRightInd w:val="0"/>
        <w:spacing w:after="240" w:line="240" w:lineRule="auto"/>
        <w:ind w:left="450" w:hanging="450"/>
        <w:jc w:val="both"/>
      </w:pPr>
      <w:r>
        <w:t>-         Identify the entity that will sign the ERPA and coordinate the implementation of the crediting program?</w:t>
      </w:r>
    </w:p>
    <w:p w14:paraId="33E96F94" w14:textId="5281F6A5" w:rsidR="003A716B" w:rsidRPr="00AD38AF" w:rsidRDefault="009502DD" w:rsidP="009502DD">
      <w:pPr>
        <w:autoSpaceDE w:val="0"/>
        <w:autoSpaceDN w:val="0"/>
        <w:adjustRightInd w:val="0"/>
        <w:spacing w:after="240" w:line="240" w:lineRule="auto"/>
        <w:ind w:left="450" w:hanging="450"/>
        <w:jc w:val="both"/>
      </w:pPr>
      <w:r>
        <w:t xml:space="preserve">-      </w:t>
      </w:r>
      <w:r w:rsidR="003A716B">
        <w:t xml:space="preserve">Identify the agency that will take the lead in preparing and implementing capacity building plan for Article 6 </w:t>
      </w:r>
      <w:r>
        <w:t xml:space="preserve">readiness. </w:t>
      </w:r>
      <w:r>
        <w:rPr>
          <w:rStyle w:val="FootnoteReference"/>
        </w:rPr>
        <w:footnoteReference w:id="5"/>
      </w:r>
    </w:p>
    <w:p w14:paraId="03C0624A" w14:textId="319D7368" w:rsidR="00114304" w:rsidRPr="00AD38AF" w:rsidRDefault="00AD38AF" w:rsidP="00114304">
      <w:pPr>
        <w:numPr>
          <w:ilvl w:val="0"/>
          <w:numId w:val="16"/>
        </w:numPr>
        <w:autoSpaceDE w:val="0"/>
        <w:autoSpaceDN w:val="0"/>
        <w:adjustRightInd w:val="0"/>
        <w:spacing w:after="240" w:line="240" w:lineRule="auto"/>
        <w:ind w:hanging="450"/>
        <w:contextualSpacing/>
        <w:rPr>
          <w:rFonts w:eastAsiaTheme="majorEastAsia" w:cstheme="majorBidi"/>
          <w:color w:val="365F91" w:themeColor="accent1" w:themeShade="BF"/>
          <w:sz w:val="24"/>
          <w:szCs w:val="24"/>
        </w:rPr>
      </w:pPr>
      <w:r w:rsidRPr="00AD38AF">
        <w:rPr>
          <w:rFonts w:eastAsiaTheme="majorEastAsia" w:cstheme="majorBidi"/>
          <w:color w:val="365F91" w:themeColor="accent1" w:themeShade="BF"/>
          <w:sz w:val="24"/>
          <w:szCs w:val="24"/>
        </w:rPr>
        <w:t>Estimated timeline for preparation and implementation</w:t>
      </w:r>
    </w:p>
    <w:p w14:paraId="25B33111" w14:textId="514B6CA4" w:rsidR="00AD38AF" w:rsidRPr="00AD38AF" w:rsidRDefault="00BC6D7F" w:rsidP="00AD38AF">
      <w:pPr>
        <w:spacing w:after="0"/>
        <w:jc w:val="both"/>
      </w:pPr>
      <w:r>
        <w:rPr>
          <w:b/>
        </w:rPr>
        <w:lastRenderedPageBreak/>
        <w:t xml:space="preserve">-        </w:t>
      </w:r>
      <w:r w:rsidR="00AD38AF" w:rsidRPr="00AD38AF">
        <w:t xml:space="preserve">Timeline for World Bank lending project’s concept review, decision </w:t>
      </w:r>
      <w:proofErr w:type="gramStart"/>
      <w:r w:rsidR="00AD38AF" w:rsidRPr="00AD38AF">
        <w:t>meeting;</w:t>
      </w:r>
      <w:proofErr w:type="gramEnd"/>
    </w:p>
    <w:p w14:paraId="666E2D05" w14:textId="607F1A97" w:rsidR="00AD38AF" w:rsidRPr="00AD38AF" w:rsidRDefault="00AD38AF" w:rsidP="00BC6D7F">
      <w:pPr>
        <w:spacing w:after="0"/>
        <w:ind w:left="540" w:hanging="540"/>
        <w:jc w:val="both"/>
      </w:pPr>
      <w:r w:rsidRPr="00AD38AF">
        <w:t>-</w:t>
      </w:r>
      <w:r w:rsidR="008775DF">
        <w:t xml:space="preserve">          </w:t>
      </w:r>
      <w:r w:rsidRPr="00AD38AF">
        <w:t xml:space="preserve">For </w:t>
      </w:r>
      <w:r w:rsidR="004D0C3D">
        <w:t>sectoral program supported by investments</w:t>
      </w:r>
      <w:r w:rsidRPr="00AD38AF">
        <w:t xml:space="preserve">: timeline for preparation, domestic approval, </w:t>
      </w:r>
      <w:r w:rsidR="004D0C3D">
        <w:t>financial closure of sub-projects</w:t>
      </w:r>
      <w:r w:rsidRPr="00AD38AF">
        <w:t xml:space="preserve">, implementation, </w:t>
      </w:r>
      <w:proofErr w:type="gramStart"/>
      <w:r w:rsidRPr="00AD38AF">
        <w:t>commissioning;</w:t>
      </w:r>
      <w:proofErr w:type="gramEnd"/>
    </w:p>
    <w:p w14:paraId="2BC1FC79" w14:textId="5C69BCEF" w:rsidR="00AD38AF" w:rsidRPr="00AD38AF" w:rsidRDefault="00BC6D7F" w:rsidP="00AD38AF">
      <w:pPr>
        <w:spacing w:after="0"/>
        <w:jc w:val="both"/>
      </w:pPr>
      <w:r>
        <w:t xml:space="preserve">-        </w:t>
      </w:r>
      <w:r w:rsidR="00AD38AF" w:rsidRPr="00AD38AF">
        <w:t xml:space="preserve">For policy program: status of legislation, implementation plan, staffing and budgeting </w:t>
      </w:r>
      <w:proofErr w:type="gramStart"/>
      <w:r w:rsidR="00AD38AF" w:rsidRPr="00AD38AF">
        <w:t>approval;</w:t>
      </w:r>
      <w:proofErr w:type="gramEnd"/>
    </w:p>
    <w:p w14:paraId="33C58A47" w14:textId="79AC6E5D" w:rsidR="00AD38AF" w:rsidRDefault="00BC6D7F" w:rsidP="00AD38AF">
      <w:pPr>
        <w:spacing w:after="0"/>
        <w:jc w:val="both"/>
      </w:pPr>
      <w:r>
        <w:t xml:space="preserve">-        </w:t>
      </w:r>
      <w:r w:rsidR="00AD38AF" w:rsidRPr="00AD38AF">
        <w:t>Timeline for preparing PIN, internal consultation, signing MoU, Program Design Document.</w:t>
      </w:r>
    </w:p>
    <w:p w14:paraId="454DCC44" w14:textId="77777777" w:rsidR="00931FF8" w:rsidRDefault="00AD38AF" w:rsidP="00AD38AF">
      <w:pPr>
        <w:spacing w:after="0"/>
        <w:jc w:val="both"/>
      </w:pPr>
      <w:r>
        <w:br/>
      </w:r>
    </w:p>
    <w:p w14:paraId="6C684BC2" w14:textId="77777777" w:rsidR="00931FF8" w:rsidRDefault="00931FF8" w:rsidP="00AD38AF">
      <w:pPr>
        <w:spacing w:after="0"/>
        <w:jc w:val="both"/>
      </w:pPr>
    </w:p>
    <w:p w14:paraId="3CF68F82" w14:textId="77777777" w:rsidR="009040D7" w:rsidRDefault="009040D7" w:rsidP="00AD38AF">
      <w:pPr>
        <w:spacing w:after="0"/>
        <w:jc w:val="both"/>
      </w:pPr>
    </w:p>
    <w:p w14:paraId="2F9B3732" w14:textId="2F892FAB" w:rsidR="00AD38AF" w:rsidRDefault="00AD38AF" w:rsidP="00AD38AF">
      <w:pPr>
        <w:spacing w:after="0"/>
        <w:jc w:val="both"/>
      </w:pPr>
      <w:r>
        <w:t>Suggested</w:t>
      </w:r>
      <w:r w:rsidR="00BC6D7F">
        <w:t xml:space="preserve"> time</w:t>
      </w:r>
      <w:r>
        <w:t>table</w:t>
      </w:r>
    </w:p>
    <w:p w14:paraId="15076C77" w14:textId="77777777" w:rsidR="00E94E8E" w:rsidRPr="00AD38AF" w:rsidRDefault="00E94E8E" w:rsidP="00AD38AF">
      <w:pPr>
        <w:spacing w:after="0"/>
        <w:jc w:val="both"/>
      </w:pPr>
    </w:p>
    <w:tbl>
      <w:tblPr>
        <w:tblStyle w:val="TableGrid1"/>
        <w:tblW w:w="0" w:type="auto"/>
        <w:jc w:val="center"/>
        <w:tblLook w:val="04A0" w:firstRow="1" w:lastRow="0" w:firstColumn="1" w:lastColumn="0" w:noHBand="0" w:noVBand="1"/>
      </w:tblPr>
      <w:tblGrid>
        <w:gridCol w:w="3055"/>
        <w:gridCol w:w="3600"/>
        <w:gridCol w:w="2785"/>
      </w:tblGrid>
      <w:tr w:rsidR="008775DF" w:rsidRPr="00AD38AF" w14:paraId="22C451D4" w14:textId="77777777" w:rsidTr="00E94E8E">
        <w:trPr>
          <w:trHeight w:val="404"/>
          <w:jc w:val="center"/>
        </w:trPr>
        <w:tc>
          <w:tcPr>
            <w:tcW w:w="3055" w:type="dxa"/>
            <w:vAlign w:val="bottom"/>
          </w:tcPr>
          <w:p w14:paraId="199669B2" w14:textId="3D77A066" w:rsidR="008775DF" w:rsidRPr="00AD38AF" w:rsidRDefault="008775DF" w:rsidP="008775DF">
            <w:pPr>
              <w:rPr>
                <w:b/>
                <w:sz w:val="20"/>
                <w:szCs w:val="20"/>
              </w:rPr>
            </w:pPr>
            <w:r>
              <w:rPr>
                <w:b/>
                <w:sz w:val="20"/>
                <w:szCs w:val="20"/>
              </w:rPr>
              <w:t>Program readiness for implementation</w:t>
            </w:r>
          </w:p>
        </w:tc>
        <w:tc>
          <w:tcPr>
            <w:tcW w:w="3600" w:type="dxa"/>
            <w:vAlign w:val="bottom"/>
          </w:tcPr>
          <w:p w14:paraId="61C100D3" w14:textId="3EBF8491" w:rsidR="008775DF" w:rsidRPr="00AD38AF" w:rsidRDefault="008775DF" w:rsidP="008775DF">
            <w:pPr>
              <w:rPr>
                <w:b/>
                <w:sz w:val="20"/>
                <w:szCs w:val="20"/>
              </w:rPr>
            </w:pPr>
            <w:r>
              <w:rPr>
                <w:b/>
                <w:sz w:val="20"/>
                <w:szCs w:val="20"/>
              </w:rPr>
              <w:t>W</w:t>
            </w:r>
            <w:r w:rsidRPr="00AD38AF">
              <w:rPr>
                <w:b/>
                <w:sz w:val="20"/>
                <w:szCs w:val="20"/>
              </w:rPr>
              <w:t xml:space="preserve">orld Bank </w:t>
            </w:r>
            <w:r>
              <w:rPr>
                <w:b/>
                <w:sz w:val="20"/>
                <w:szCs w:val="20"/>
              </w:rPr>
              <w:t>lending</w:t>
            </w:r>
            <w:r w:rsidRPr="00AD38AF">
              <w:rPr>
                <w:b/>
                <w:sz w:val="20"/>
                <w:szCs w:val="20"/>
              </w:rPr>
              <w:t xml:space="preserve"> project </w:t>
            </w:r>
            <w:r>
              <w:rPr>
                <w:b/>
                <w:sz w:val="20"/>
                <w:szCs w:val="20"/>
              </w:rPr>
              <w:t xml:space="preserve">preparation and </w:t>
            </w:r>
            <w:r w:rsidRPr="00AD38AF">
              <w:rPr>
                <w:b/>
                <w:sz w:val="20"/>
                <w:szCs w:val="20"/>
              </w:rPr>
              <w:t>implementation</w:t>
            </w:r>
          </w:p>
        </w:tc>
        <w:tc>
          <w:tcPr>
            <w:tcW w:w="2785" w:type="dxa"/>
            <w:vAlign w:val="bottom"/>
          </w:tcPr>
          <w:p w14:paraId="53E21173" w14:textId="1EA74301" w:rsidR="008775DF" w:rsidRPr="00AD38AF" w:rsidRDefault="00E94E8E" w:rsidP="008775DF">
            <w:pPr>
              <w:rPr>
                <w:b/>
                <w:sz w:val="20"/>
                <w:szCs w:val="20"/>
              </w:rPr>
            </w:pPr>
            <w:r>
              <w:rPr>
                <w:b/>
                <w:sz w:val="20"/>
                <w:szCs w:val="20"/>
              </w:rPr>
              <w:t>P</w:t>
            </w:r>
            <w:r w:rsidR="008775DF" w:rsidRPr="00AD38AF">
              <w:rPr>
                <w:b/>
                <w:sz w:val="20"/>
                <w:szCs w:val="20"/>
              </w:rPr>
              <w:t>reparation</w:t>
            </w:r>
            <w:r>
              <w:rPr>
                <w:b/>
                <w:sz w:val="20"/>
                <w:szCs w:val="20"/>
              </w:rPr>
              <w:t xml:space="preserve"> of crediting program</w:t>
            </w:r>
          </w:p>
        </w:tc>
      </w:tr>
      <w:tr w:rsidR="008775DF" w:rsidRPr="00AD38AF" w14:paraId="7C74B748" w14:textId="77777777" w:rsidTr="00E94E8E">
        <w:trPr>
          <w:trHeight w:val="341"/>
          <w:jc w:val="center"/>
        </w:trPr>
        <w:tc>
          <w:tcPr>
            <w:tcW w:w="3055" w:type="dxa"/>
            <w:vAlign w:val="bottom"/>
          </w:tcPr>
          <w:p w14:paraId="1E9E0587" w14:textId="22AC62BE" w:rsidR="008775DF" w:rsidRPr="00AD38AF" w:rsidRDefault="008775DF" w:rsidP="008775DF">
            <w:pPr>
              <w:rPr>
                <w:sz w:val="20"/>
                <w:szCs w:val="20"/>
              </w:rPr>
            </w:pPr>
            <w:r>
              <w:rPr>
                <w:sz w:val="20"/>
                <w:szCs w:val="20"/>
              </w:rPr>
              <w:t>Completion of feasibility study:</w:t>
            </w:r>
          </w:p>
        </w:tc>
        <w:tc>
          <w:tcPr>
            <w:tcW w:w="3600" w:type="dxa"/>
            <w:vAlign w:val="bottom"/>
          </w:tcPr>
          <w:p w14:paraId="6083FED1" w14:textId="2B8EC165" w:rsidR="008775DF" w:rsidRPr="00AD38AF" w:rsidRDefault="008775DF" w:rsidP="008775DF">
            <w:pPr>
              <w:rPr>
                <w:sz w:val="20"/>
                <w:szCs w:val="20"/>
              </w:rPr>
            </w:pPr>
          </w:p>
          <w:p w14:paraId="42D378BC" w14:textId="1F8547E1" w:rsidR="008775DF" w:rsidRPr="00AD38AF" w:rsidRDefault="008775DF" w:rsidP="008775DF">
            <w:pPr>
              <w:rPr>
                <w:sz w:val="20"/>
                <w:szCs w:val="20"/>
              </w:rPr>
            </w:pPr>
            <w:r>
              <w:rPr>
                <w:sz w:val="20"/>
                <w:szCs w:val="20"/>
              </w:rPr>
              <w:t>Concept Review:</w:t>
            </w:r>
          </w:p>
        </w:tc>
        <w:tc>
          <w:tcPr>
            <w:tcW w:w="2785" w:type="dxa"/>
            <w:vAlign w:val="bottom"/>
          </w:tcPr>
          <w:p w14:paraId="45CB91D9" w14:textId="77777777" w:rsidR="008775DF" w:rsidRPr="00AD38AF" w:rsidRDefault="008775DF" w:rsidP="008775DF">
            <w:pPr>
              <w:rPr>
                <w:sz w:val="20"/>
                <w:szCs w:val="20"/>
              </w:rPr>
            </w:pPr>
          </w:p>
          <w:p w14:paraId="2DA70B99" w14:textId="3EC06500" w:rsidR="008775DF" w:rsidRPr="00AD38AF" w:rsidRDefault="008775DF" w:rsidP="008775DF">
            <w:pPr>
              <w:rPr>
                <w:sz w:val="20"/>
                <w:szCs w:val="20"/>
              </w:rPr>
            </w:pPr>
            <w:r w:rsidRPr="00AD38AF">
              <w:rPr>
                <w:sz w:val="20"/>
                <w:szCs w:val="20"/>
              </w:rPr>
              <w:t xml:space="preserve">PIN preparation: </w:t>
            </w:r>
          </w:p>
        </w:tc>
      </w:tr>
      <w:tr w:rsidR="008775DF" w:rsidRPr="00AD38AF" w14:paraId="7FE62BE3" w14:textId="77777777" w:rsidTr="00E94E8E">
        <w:trPr>
          <w:trHeight w:val="350"/>
          <w:jc w:val="center"/>
        </w:trPr>
        <w:tc>
          <w:tcPr>
            <w:tcW w:w="3055" w:type="dxa"/>
            <w:vAlign w:val="bottom"/>
          </w:tcPr>
          <w:p w14:paraId="06EC3F36" w14:textId="3E616E76" w:rsidR="008775DF" w:rsidRDefault="008775DF" w:rsidP="008775DF">
            <w:pPr>
              <w:rPr>
                <w:sz w:val="20"/>
                <w:szCs w:val="20"/>
              </w:rPr>
            </w:pPr>
            <w:r>
              <w:rPr>
                <w:sz w:val="20"/>
                <w:szCs w:val="20"/>
              </w:rPr>
              <w:t xml:space="preserve">Domestic approval/passing legislation: </w:t>
            </w:r>
          </w:p>
        </w:tc>
        <w:tc>
          <w:tcPr>
            <w:tcW w:w="3600" w:type="dxa"/>
            <w:vAlign w:val="bottom"/>
          </w:tcPr>
          <w:p w14:paraId="57234F77" w14:textId="6DB6551E" w:rsidR="008775DF" w:rsidRDefault="008775DF" w:rsidP="008775DF">
            <w:pPr>
              <w:rPr>
                <w:sz w:val="20"/>
                <w:szCs w:val="20"/>
              </w:rPr>
            </w:pPr>
          </w:p>
          <w:p w14:paraId="670685C1" w14:textId="00AC6213" w:rsidR="008775DF" w:rsidRPr="00AD38AF" w:rsidRDefault="008775DF" w:rsidP="008775DF">
            <w:pPr>
              <w:rPr>
                <w:sz w:val="20"/>
                <w:szCs w:val="20"/>
              </w:rPr>
            </w:pPr>
            <w:r w:rsidRPr="00AD38AF">
              <w:rPr>
                <w:sz w:val="20"/>
                <w:szCs w:val="20"/>
              </w:rPr>
              <w:t>Board approval:</w:t>
            </w:r>
          </w:p>
        </w:tc>
        <w:tc>
          <w:tcPr>
            <w:tcW w:w="2785" w:type="dxa"/>
            <w:vAlign w:val="bottom"/>
          </w:tcPr>
          <w:p w14:paraId="004632C1" w14:textId="77777777" w:rsidR="008775DF" w:rsidRPr="00AD38AF" w:rsidRDefault="008775DF" w:rsidP="008775DF">
            <w:pPr>
              <w:rPr>
                <w:sz w:val="20"/>
                <w:szCs w:val="20"/>
              </w:rPr>
            </w:pPr>
          </w:p>
          <w:p w14:paraId="2015D056" w14:textId="75EF9194" w:rsidR="008775DF" w:rsidRPr="00AD38AF" w:rsidRDefault="008775DF" w:rsidP="008775DF">
            <w:pPr>
              <w:rPr>
                <w:sz w:val="20"/>
                <w:szCs w:val="20"/>
              </w:rPr>
            </w:pPr>
            <w:r w:rsidRPr="00AD38AF">
              <w:rPr>
                <w:sz w:val="20"/>
                <w:szCs w:val="20"/>
              </w:rPr>
              <w:t>Signing MoU:</w:t>
            </w:r>
          </w:p>
        </w:tc>
      </w:tr>
      <w:tr w:rsidR="008775DF" w:rsidRPr="00AD38AF" w14:paraId="48AA9033" w14:textId="77777777" w:rsidTr="00E94E8E">
        <w:trPr>
          <w:trHeight w:val="350"/>
          <w:jc w:val="center"/>
        </w:trPr>
        <w:tc>
          <w:tcPr>
            <w:tcW w:w="3055" w:type="dxa"/>
            <w:vAlign w:val="bottom"/>
          </w:tcPr>
          <w:p w14:paraId="0467E6F0" w14:textId="15AE0EB3" w:rsidR="008775DF" w:rsidRDefault="008775DF" w:rsidP="008775DF">
            <w:pPr>
              <w:rPr>
                <w:sz w:val="20"/>
                <w:szCs w:val="20"/>
              </w:rPr>
            </w:pPr>
            <w:r>
              <w:rPr>
                <w:sz w:val="20"/>
                <w:szCs w:val="20"/>
              </w:rPr>
              <w:t xml:space="preserve">Financial closure of underlying investment activities: </w:t>
            </w:r>
          </w:p>
        </w:tc>
        <w:tc>
          <w:tcPr>
            <w:tcW w:w="3600" w:type="dxa"/>
            <w:vAlign w:val="bottom"/>
          </w:tcPr>
          <w:p w14:paraId="703B1E35" w14:textId="696FE317" w:rsidR="008775DF" w:rsidRDefault="008775DF" w:rsidP="008775DF">
            <w:pPr>
              <w:rPr>
                <w:sz w:val="20"/>
                <w:szCs w:val="20"/>
              </w:rPr>
            </w:pPr>
          </w:p>
          <w:p w14:paraId="3C2E97FB" w14:textId="2702D702" w:rsidR="008775DF" w:rsidRPr="00AD38AF" w:rsidRDefault="008775DF" w:rsidP="008775DF">
            <w:pPr>
              <w:rPr>
                <w:sz w:val="20"/>
                <w:szCs w:val="20"/>
              </w:rPr>
            </w:pPr>
            <w:r w:rsidRPr="00AD38AF">
              <w:rPr>
                <w:sz w:val="20"/>
                <w:szCs w:val="20"/>
              </w:rPr>
              <w:t xml:space="preserve">Start of Implementation:  </w:t>
            </w:r>
          </w:p>
        </w:tc>
        <w:tc>
          <w:tcPr>
            <w:tcW w:w="2785" w:type="dxa"/>
            <w:vAlign w:val="bottom"/>
          </w:tcPr>
          <w:p w14:paraId="62893D0A" w14:textId="77777777" w:rsidR="008775DF" w:rsidRPr="00AD38AF" w:rsidRDefault="008775DF" w:rsidP="008775DF">
            <w:pPr>
              <w:rPr>
                <w:sz w:val="20"/>
                <w:szCs w:val="20"/>
              </w:rPr>
            </w:pPr>
          </w:p>
          <w:p w14:paraId="45F7A610" w14:textId="319629AC" w:rsidR="008775DF" w:rsidRPr="00AD38AF" w:rsidRDefault="008775DF" w:rsidP="008775DF">
            <w:pPr>
              <w:rPr>
                <w:sz w:val="20"/>
                <w:szCs w:val="20"/>
              </w:rPr>
            </w:pPr>
            <w:r>
              <w:rPr>
                <w:sz w:val="20"/>
                <w:szCs w:val="20"/>
              </w:rPr>
              <w:t xml:space="preserve">Crediting </w:t>
            </w:r>
            <w:r w:rsidRPr="00AD38AF">
              <w:rPr>
                <w:sz w:val="20"/>
                <w:szCs w:val="20"/>
              </w:rPr>
              <w:t xml:space="preserve">Program Design Document: </w:t>
            </w:r>
          </w:p>
        </w:tc>
      </w:tr>
      <w:tr w:rsidR="008775DF" w:rsidRPr="00AD38AF" w14:paraId="244CBF96" w14:textId="77777777" w:rsidTr="00E94E8E">
        <w:trPr>
          <w:trHeight w:val="350"/>
          <w:jc w:val="center"/>
        </w:trPr>
        <w:tc>
          <w:tcPr>
            <w:tcW w:w="3055" w:type="dxa"/>
            <w:vAlign w:val="bottom"/>
          </w:tcPr>
          <w:p w14:paraId="0185139C" w14:textId="0F3F91BB" w:rsidR="008775DF" w:rsidRDefault="008775DF" w:rsidP="008775DF">
            <w:pPr>
              <w:rPr>
                <w:sz w:val="20"/>
                <w:szCs w:val="20"/>
              </w:rPr>
            </w:pPr>
            <w:r>
              <w:rPr>
                <w:sz w:val="20"/>
                <w:szCs w:val="20"/>
              </w:rPr>
              <w:t>Project commissioning:</w:t>
            </w:r>
          </w:p>
        </w:tc>
        <w:tc>
          <w:tcPr>
            <w:tcW w:w="3600" w:type="dxa"/>
            <w:vAlign w:val="bottom"/>
          </w:tcPr>
          <w:p w14:paraId="32FF4191" w14:textId="5C1A8C4B" w:rsidR="008775DF" w:rsidRDefault="008775DF" w:rsidP="008775DF">
            <w:pPr>
              <w:rPr>
                <w:sz w:val="20"/>
                <w:szCs w:val="20"/>
              </w:rPr>
            </w:pPr>
          </w:p>
          <w:p w14:paraId="526ACCF1" w14:textId="513B9415" w:rsidR="008775DF" w:rsidRPr="00AD38AF" w:rsidRDefault="008775DF" w:rsidP="008775DF">
            <w:pPr>
              <w:rPr>
                <w:sz w:val="20"/>
                <w:szCs w:val="20"/>
              </w:rPr>
            </w:pPr>
            <w:r>
              <w:rPr>
                <w:sz w:val="20"/>
                <w:szCs w:val="20"/>
              </w:rPr>
              <w:t>Program commissioning and ER generation:</w:t>
            </w:r>
          </w:p>
        </w:tc>
        <w:tc>
          <w:tcPr>
            <w:tcW w:w="2785" w:type="dxa"/>
            <w:vAlign w:val="bottom"/>
          </w:tcPr>
          <w:p w14:paraId="66452047" w14:textId="77777777" w:rsidR="008775DF" w:rsidRPr="00AD38AF" w:rsidRDefault="008775DF" w:rsidP="008775DF">
            <w:pPr>
              <w:rPr>
                <w:sz w:val="20"/>
                <w:szCs w:val="20"/>
              </w:rPr>
            </w:pPr>
          </w:p>
          <w:p w14:paraId="04F41EC3" w14:textId="569384D7" w:rsidR="008775DF" w:rsidRPr="00AD38AF" w:rsidRDefault="008775DF" w:rsidP="008775DF">
            <w:pPr>
              <w:rPr>
                <w:sz w:val="20"/>
                <w:szCs w:val="20"/>
              </w:rPr>
            </w:pPr>
            <w:r w:rsidRPr="00AD38AF">
              <w:rPr>
                <w:sz w:val="20"/>
                <w:szCs w:val="20"/>
              </w:rPr>
              <w:t xml:space="preserve">ERPA signing: </w:t>
            </w:r>
          </w:p>
        </w:tc>
      </w:tr>
    </w:tbl>
    <w:p w14:paraId="2F5E9F6E" w14:textId="77777777" w:rsidR="00AD38AF" w:rsidRPr="00AD38AF" w:rsidRDefault="00AD38AF" w:rsidP="00AD38AF">
      <w:pPr>
        <w:spacing w:after="0"/>
        <w:jc w:val="both"/>
      </w:pPr>
    </w:p>
    <w:p w14:paraId="5C1712CE" w14:textId="77777777" w:rsidR="00AD38AF" w:rsidRPr="00AD38AF" w:rsidRDefault="00AD38AF" w:rsidP="00AD38AF"/>
    <w:p w14:paraId="7C394C7D" w14:textId="77777777" w:rsidR="00AD38AF" w:rsidRPr="00AD38AF" w:rsidRDefault="00AD38AF" w:rsidP="00AD38AF">
      <w:pPr>
        <w:spacing w:before="120" w:after="0"/>
        <w:jc w:val="both"/>
      </w:pPr>
    </w:p>
    <w:p w14:paraId="4C18AF8B" w14:textId="77777777" w:rsidR="00AC4625" w:rsidRPr="004953FF" w:rsidRDefault="00AC4625" w:rsidP="004953FF"/>
    <w:sectPr w:rsidR="00AC4625" w:rsidRPr="004953FF" w:rsidSect="00BC6D7F">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9BC2" w14:textId="77777777" w:rsidR="00D976EB" w:rsidRDefault="00D976EB" w:rsidP="00513ED7">
      <w:pPr>
        <w:spacing w:after="0" w:line="240" w:lineRule="auto"/>
      </w:pPr>
      <w:r>
        <w:separator/>
      </w:r>
    </w:p>
  </w:endnote>
  <w:endnote w:type="continuationSeparator" w:id="0">
    <w:p w14:paraId="50B8C67F" w14:textId="77777777" w:rsidR="00D976EB" w:rsidRDefault="00D976EB" w:rsidP="00513ED7">
      <w:pPr>
        <w:spacing w:after="0" w:line="240" w:lineRule="auto"/>
      </w:pPr>
      <w:r>
        <w:continuationSeparator/>
      </w:r>
    </w:p>
  </w:endnote>
  <w:endnote w:type="continuationNotice" w:id="1">
    <w:p w14:paraId="39AA563F" w14:textId="77777777" w:rsidR="00D976EB" w:rsidRDefault="00D97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A7E3" w14:textId="77777777" w:rsidR="00977AD3" w:rsidRDefault="0097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316731"/>
      <w:docPartObj>
        <w:docPartGallery w:val="Page Numbers (Bottom of Page)"/>
        <w:docPartUnique/>
      </w:docPartObj>
    </w:sdtPr>
    <w:sdtEndPr>
      <w:rPr>
        <w:noProof/>
      </w:rPr>
    </w:sdtEndPr>
    <w:sdtContent>
      <w:p w14:paraId="68E4439E" w14:textId="52952BBA" w:rsidR="004D3644" w:rsidRDefault="004D3644">
        <w:pPr>
          <w:pStyle w:val="Footer"/>
          <w:jc w:val="right"/>
        </w:pPr>
        <w:r>
          <w:fldChar w:fldCharType="begin"/>
        </w:r>
        <w:r>
          <w:instrText xml:space="preserve"> PAGE   \* MERGEFORMAT </w:instrText>
        </w:r>
        <w:r>
          <w:fldChar w:fldCharType="separate"/>
        </w:r>
        <w:r w:rsidR="00B34573">
          <w:rPr>
            <w:noProof/>
          </w:rPr>
          <w:t>4</w:t>
        </w:r>
        <w:r>
          <w:rPr>
            <w:noProof/>
          </w:rPr>
          <w:fldChar w:fldCharType="end"/>
        </w:r>
      </w:p>
    </w:sdtContent>
  </w:sdt>
  <w:p w14:paraId="61817506" w14:textId="77777777" w:rsidR="004D3644" w:rsidRDefault="004D3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31A6" w14:textId="77777777" w:rsidR="00977AD3" w:rsidRDefault="0097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5A5B" w14:textId="77777777" w:rsidR="00D976EB" w:rsidRDefault="00D976EB" w:rsidP="00513ED7">
      <w:pPr>
        <w:spacing w:after="0" w:line="240" w:lineRule="auto"/>
      </w:pPr>
      <w:r>
        <w:separator/>
      </w:r>
    </w:p>
  </w:footnote>
  <w:footnote w:type="continuationSeparator" w:id="0">
    <w:p w14:paraId="14325D9B" w14:textId="77777777" w:rsidR="00D976EB" w:rsidRDefault="00D976EB" w:rsidP="00513ED7">
      <w:pPr>
        <w:spacing w:after="0" w:line="240" w:lineRule="auto"/>
      </w:pPr>
      <w:r>
        <w:continuationSeparator/>
      </w:r>
    </w:p>
  </w:footnote>
  <w:footnote w:type="continuationNotice" w:id="1">
    <w:p w14:paraId="39F60A8E" w14:textId="77777777" w:rsidR="00D976EB" w:rsidRDefault="00D976EB">
      <w:pPr>
        <w:spacing w:after="0" w:line="240" w:lineRule="auto"/>
      </w:pPr>
    </w:p>
  </w:footnote>
  <w:footnote w:id="2">
    <w:p w14:paraId="4E66631C" w14:textId="411A27FF" w:rsidR="00776761" w:rsidRDefault="00776761" w:rsidP="00776761">
      <w:pPr>
        <w:pStyle w:val="FootnoteText"/>
        <w:jc w:val="left"/>
      </w:pPr>
      <w:r>
        <w:rPr>
          <w:rStyle w:val="FootnoteReference"/>
        </w:rPr>
        <w:footnoteRef/>
      </w:r>
      <w:r>
        <w:t xml:space="preserve"> </w:t>
      </w:r>
      <w:r w:rsidR="00E92BD3">
        <w:t>Please refer to the</w:t>
      </w:r>
      <w:r>
        <w:t xml:space="preserve"> </w:t>
      </w:r>
      <w:r w:rsidR="00E92BD3">
        <w:t xml:space="preserve">guidance note </w:t>
      </w:r>
      <w:r w:rsidRPr="00E92BD3">
        <w:rPr>
          <w:i/>
          <w:iCs/>
        </w:rPr>
        <w:t>Core Parameters for TCAF Operations</w:t>
      </w:r>
      <w:r w:rsidR="00E92BD3">
        <w:t xml:space="preserve"> to describe the transformational change this program can bring to the sector.</w:t>
      </w:r>
      <w:r w:rsidR="0096338C">
        <w:t xml:space="preserve"> </w:t>
      </w:r>
      <w:r w:rsidR="0096338C" w:rsidRPr="0096338C">
        <w:t>https://tcafwb.org/knowledge-center</w:t>
      </w:r>
    </w:p>
  </w:footnote>
  <w:footnote w:id="3">
    <w:p w14:paraId="6BA97730" w14:textId="77777777" w:rsidR="00C4076E" w:rsidRDefault="00C4076E" w:rsidP="00C4076E">
      <w:pPr>
        <w:pStyle w:val="FootnoteText"/>
      </w:pPr>
      <w:r w:rsidRPr="00A23FF6">
        <w:rPr>
          <w:rStyle w:val="FootnoteReference"/>
          <w:sz w:val="18"/>
          <w:szCs w:val="18"/>
        </w:rPr>
        <w:footnoteRef/>
      </w:r>
      <w:r w:rsidRPr="00A23FF6">
        <w:rPr>
          <w:sz w:val="18"/>
          <w:szCs w:val="18"/>
        </w:rPr>
        <w:t xml:space="preserve"> </w:t>
      </w:r>
      <w:r w:rsidRPr="00A23FF6">
        <w:rPr>
          <w:lang w:eastAsia="zh-CN"/>
        </w:rPr>
        <w:t xml:space="preserve">TCAF </w:t>
      </w:r>
      <w:r>
        <w:rPr>
          <w:lang w:eastAsia="zh-CN"/>
        </w:rPr>
        <w:t>has an innovative hybrid funding structure comprising funding from both climate finance and carbon markets.  The funding from carbon market</w:t>
      </w:r>
      <w:r w:rsidRPr="00A23FF6">
        <w:rPr>
          <w:lang w:eastAsia="zh-CN"/>
        </w:rPr>
        <w:t xml:space="preserve"> will</w:t>
      </w:r>
      <w:r>
        <w:rPr>
          <w:lang w:eastAsia="zh-CN"/>
        </w:rPr>
        <w:t xml:space="preserve"> support</w:t>
      </w:r>
      <w:r w:rsidRPr="00A23FF6">
        <w:rPr>
          <w:lang w:eastAsia="zh-CN"/>
        </w:rPr>
        <w:t xml:space="preserve"> pilot</w:t>
      </w:r>
      <w:r>
        <w:rPr>
          <w:lang w:eastAsia="zh-CN"/>
        </w:rPr>
        <w:t>ing the</w:t>
      </w:r>
      <w:r w:rsidRPr="00A23FF6">
        <w:rPr>
          <w:lang w:eastAsia="zh-CN"/>
        </w:rPr>
        <w:t xml:space="preserve"> transfer of ER credits under the Article 6 of Paris Agreement. </w:t>
      </w:r>
      <w:r>
        <w:rPr>
          <w:lang w:eastAsia="zh-CN"/>
        </w:rPr>
        <w:t xml:space="preserve">The portion of </w:t>
      </w:r>
      <w:r w:rsidRPr="00A23FF6">
        <w:rPr>
          <w:lang w:eastAsia="zh-CN"/>
        </w:rPr>
        <w:t xml:space="preserve">ERs </w:t>
      </w:r>
      <w:r>
        <w:rPr>
          <w:lang w:eastAsia="zh-CN"/>
        </w:rPr>
        <w:t>paid by the carbon market funding</w:t>
      </w:r>
      <w:r w:rsidRPr="00A23FF6">
        <w:rPr>
          <w:lang w:eastAsia="zh-CN"/>
        </w:rPr>
        <w:t xml:space="preserve"> and transferred to TCAF cannot be counted towards the NDC target.  As a result, the Host Government would need to take Corresponding Adjustment in the NDC target year in its NDC accounting and reporting in order to avoid double counting and safeguard environmental integrity. Detailed analysis on corresponding adjustment can be found in the TCAF Discussion Paper: Corresponding Adjustment.  </w:t>
      </w:r>
      <w:r w:rsidRPr="00A23FF6">
        <w:rPr>
          <w:sz w:val="18"/>
          <w:szCs w:val="18"/>
        </w:rPr>
        <w:t xml:space="preserve">  </w:t>
      </w:r>
    </w:p>
  </w:footnote>
  <w:footnote w:id="4">
    <w:p w14:paraId="151F9394" w14:textId="717A0768" w:rsidR="004E75DB" w:rsidRDefault="004E75DB">
      <w:pPr>
        <w:pStyle w:val="FootnoteText"/>
      </w:pPr>
      <w:r>
        <w:rPr>
          <w:rStyle w:val="FootnoteReference"/>
        </w:rPr>
        <w:footnoteRef/>
      </w:r>
      <w:r>
        <w:t xml:space="preserve"> </w:t>
      </w:r>
      <w:r w:rsidR="00052447">
        <w:t>TCAF’s payment structures can be found in the summary: Note on TCAF payment structure.</w:t>
      </w:r>
    </w:p>
  </w:footnote>
  <w:footnote w:id="5">
    <w:p w14:paraId="5EE00243" w14:textId="6E32BF5A" w:rsidR="009502DD" w:rsidRDefault="009502DD">
      <w:pPr>
        <w:pStyle w:val="FootnoteText"/>
      </w:pPr>
      <w:r>
        <w:rPr>
          <w:rStyle w:val="FootnoteReference"/>
        </w:rPr>
        <w:footnoteRef/>
      </w:r>
      <w:r>
        <w:t xml:space="preserve"> Capacity building plan will be an integral part of P</w:t>
      </w:r>
      <w:r w:rsidR="00671FB2">
        <w:t>rogram Information Note (P</w:t>
      </w:r>
      <w:r>
        <w:t>IN</w:t>
      </w:r>
      <w:r w:rsidR="00671FB2">
        <w:t>)</w:t>
      </w:r>
      <w:r>
        <w:t xml:space="preserve"> package, </w:t>
      </w:r>
      <w:r w:rsidR="001F4339">
        <w:t xml:space="preserve">based on which the TCAF contributors make decision on whether to </w:t>
      </w:r>
      <w:r w:rsidR="00671FB2">
        <w:t>endorse</w:t>
      </w:r>
      <w:r w:rsidR="001F4339">
        <w:t xml:space="preserve"> the proposed program in</w:t>
      </w:r>
      <w:r w:rsidR="00671FB2">
        <w:t>to</w:t>
      </w:r>
      <w:r w:rsidR="001F4339">
        <w:t xml:space="preserve"> the TCAF portfolio.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33C3" w14:textId="77777777" w:rsidR="00977AD3" w:rsidRDefault="0097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BB1E" w14:textId="77777777" w:rsidR="00977AD3" w:rsidRDefault="00977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B802" w14:textId="77777777" w:rsidR="00977AD3" w:rsidRDefault="00977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4F7"/>
    <w:multiLevelType w:val="hybridMultilevel"/>
    <w:tmpl w:val="230613F2"/>
    <w:lvl w:ilvl="0" w:tplc="805E3CF8">
      <w:start w:val="1"/>
      <w:numFmt w:val="decimal"/>
      <w:lvlText w:val="%1."/>
      <w:lvlJc w:val="left"/>
      <w:pPr>
        <w:ind w:left="765" w:hanging="360"/>
      </w:pPr>
      <w:rPr>
        <w:rFont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D92259"/>
    <w:multiLevelType w:val="hybridMultilevel"/>
    <w:tmpl w:val="8C0E9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5084E"/>
    <w:multiLevelType w:val="hybridMultilevel"/>
    <w:tmpl w:val="C400D930"/>
    <w:lvl w:ilvl="0" w:tplc="C5CA55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0EB7"/>
    <w:multiLevelType w:val="hybridMultilevel"/>
    <w:tmpl w:val="7F7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5974"/>
    <w:multiLevelType w:val="hybridMultilevel"/>
    <w:tmpl w:val="3BF246E2"/>
    <w:lvl w:ilvl="0" w:tplc="F1027ECE">
      <w:start w:val="1"/>
      <w:numFmt w:val="decimal"/>
      <w:lvlText w:val="%1."/>
      <w:lvlJc w:val="left"/>
      <w:pPr>
        <w:ind w:left="360" w:hanging="360"/>
      </w:pPr>
      <w:rPr>
        <w:rFonts w:ascii="Calibri" w:hAnsi="Calibri" w:cs="Times New Roman" w:hint="default"/>
        <w:b w:val="0"/>
        <w:i w:val="0"/>
        <w:color w:val="auto"/>
        <w:sz w:val="20"/>
        <w:szCs w:val="22"/>
      </w:rPr>
    </w:lvl>
    <w:lvl w:ilvl="1" w:tplc="9F3E83D2">
      <w:start w:val="1"/>
      <w:numFmt w:val="decimal"/>
      <w:lvlText w:val="%2"/>
      <w:lvlJc w:val="left"/>
      <w:pPr>
        <w:ind w:left="1080" w:hanging="360"/>
      </w:pPr>
      <w:rPr>
        <w:rFonts w:hint="default"/>
      </w:rPr>
    </w:lvl>
    <w:lvl w:ilvl="2" w:tplc="EB86063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C2A1B8D"/>
    <w:multiLevelType w:val="hybridMultilevel"/>
    <w:tmpl w:val="2C10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11D22"/>
    <w:multiLevelType w:val="hybridMultilevel"/>
    <w:tmpl w:val="A664F18C"/>
    <w:lvl w:ilvl="0" w:tplc="3B6E45D2">
      <w:start w:val="1"/>
      <w:numFmt w:val="bullet"/>
      <w:lvlText w:val="–"/>
      <w:lvlJc w:val="left"/>
      <w:pPr>
        <w:tabs>
          <w:tab w:val="num" w:pos="720"/>
        </w:tabs>
        <w:ind w:left="720" w:hanging="360"/>
      </w:pPr>
      <w:rPr>
        <w:rFonts w:ascii="Times New Roman" w:hAnsi="Times New Roman" w:hint="default"/>
      </w:rPr>
    </w:lvl>
    <w:lvl w:ilvl="1" w:tplc="FCDE73D4">
      <w:start w:val="1"/>
      <w:numFmt w:val="bullet"/>
      <w:lvlText w:val="–"/>
      <w:lvlJc w:val="left"/>
      <w:pPr>
        <w:tabs>
          <w:tab w:val="num" w:pos="1440"/>
        </w:tabs>
        <w:ind w:left="1440" w:hanging="360"/>
      </w:pPr>
      <w:rPr>
        <w:rFonts w:ascii="Times New Roman" w:hAnsi="Times New Roman" w:hint="default"/>
      </w:rPr>
    </w:lvl>
    <w:lvl w:ilvl="2" w:tplc="093A4C26" w:tentative="1">
      <w:start w:val="1"/>
      <w:numFmt w:val="bullet"/>
      <w:lvlText w:val="–"/>
      <w:lvlJc w:val="left"/>
      <w:pPr>
        <w:tabs>
          <w:tab w:val="num" w:pos="2160"/>
        </w:tabs>
        <w:ind w:left="2160" w:hanging="360"/>
      </w:pPr>
      <w:rPr>
        <w:rFonts w:ascii="Times New Roman" w:hAnsi="Times New Roman" w:hint="default"/>
      </w:rPr>
    </w:lvl>
    <w:lvl w:ilvl="3" w:tplc="DAE87B8A" w:tentative="1">
      <w:start w:val="1"/>
      <w:numFmt w:val="bullet"/>
      <w:lvlText w:val="–"/>
      <w:lvlJc w:val="left"/>
      <w:pPr>
        <w:tabs>
          <w:tab w:val="num" w:pos="2880"/>
        </w:tabs>
        <w:ind w:left="2880" w:hanging="360"/>
      </w:pPr>
      <w:rPr>
        <w:rFonts w:ascii="Times New Roman" w:hAnsi="Times New Roman" w:hint="default"/>
      </w:rPr>
    </w:lvl>
    <w:lvl w:ilvl="4" w:tplc="EB524FCA" w:tentative="1">
      <w:start w:val="1"/>
      <w:numFmt w:val="bullet"/>
      <w:lvlText w:val="–"/>
      <w:lvlJc w:val="left"/>
      <w:pPr>
        <w:tabs>
          <w:tab w:val="num" w:pos="3600"/>
        </w:tabs>
        <w:ind w:left="3600" w:hanging="360"/>
      </w:pPr>
      <w:rPr>
        <w:rFonts w:ascii="Times New Roman" w:hAnsi="Times New Roman" w:hint="default"/>
      </w:rPr>
    </w:lvl>
    <w:lvl w:ilvl="5" w:tplc="8C869AEE" w:tentative="1">
      <w:start w:val="1"/>
      <w:numFmt w:val="bullet"/>
      <w:lvlText w:val="–"/>
      <w:lvlJc w:val="left"/>
      <w:pPr>
        <w:tabs>
          <w:tab w:val="num" w:pos="4320"/>
        </w:tabs>
        <w:ind w:left="4320" w:hanging="360"/>
      </w:pPr>
      <w:rPr>
        <w:rFonts w:ascii="Times New Roman" w:hAnsi="Times New Roman" w:hint="default"/>
      </w:rPr>
    </w:lvl>
    <w:lvl w:ilvl="6" w:tplc="07D6DFA8" w:tentative="1">
      <w:start w:val="1"/>
      <w:numFmt w:val="bullet"/>
      <w:lvlText w:val="–"/>
      <w:lvlJc w:val="left"/>
      <w:pPr>
        <w:tabs>
          <w:tab w:val="num" w:pos="5040"/>
        </w:tabs>
        <w:ind w:left="5040" w:hanging="360"/>
      </w:pPr>
      <w:rPr>
        <w:rFonts w:ascii="Times New Roman" w:hAnsi="Times New Roman" w:hint="default"/>
      </w:rPr>
    </w:lvl>
    <w:lvl w:ilvl="7" w:tplc="B3CE70F4" w:tentative="1">
      <w:start w:val="1"/>
      <w:numFmt w:val="bullet"/>
      <w:lvlText w:val="–"/>
      <w:lvlJc w:val="left"/>
      <w:pPr>
        <w:tabs>
          <w:tab w:val="num" w:pos="5760"/>
        </w:tabs>
        <w:ind w:left="5760" w:hanging="360"/>
      </w:pPr>
      <w:rPr>
        <w:rFonts w:ascii="Times New Roman" w:hAnsi="Times New Roman" w:hint="default"/>
      </w:rPr>
    </w:lvl>
    <w:lvl w:ilvl="8" w:tplc="B858A6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8C4816"/>
    <w:multiLevelType w:val="hybridMultilevel"/>
    <w:tmpl w:val="A5427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24D3E"/>
    <w:multiLevelType w:val="hybridMultilevel"/>
    <w:tmpl w:val="149CF4DC"/>
    <w:lvl w:ilvl="0" w:tplc="782CCD9A">
      <w:start w:val="7"/>
      <w:numFmt w:val="bullet"/>
      <w:lvlText w:val="-"/>
      <w:lvlJc w:val="left"/>
      <w:pPr>
        <w:ind w:left="1125" w:hanging="360"/>
      </w:pPr>
      <w:rPr>
        <w:rFonts w:ascii="Calibri" w:eastAsiaTheme="minorEastAsia" w:hAnsi="Calibri" w:cstheme="minorBidi" w:hint="default"/>
        <w:b w:val="0"/>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2E6052D3"/>
    <w:multiLevelType w:val="hybridMultilevel"/>
    <w:tmpl w:val="3FDA2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63D75"/>
    <w:multiLevelType w:val="hybridMultilevel"/>
    <w:tmpl w:val="9CE2F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5FE"/>
    <w:multiLevelType w:val="hybridMultilevel"/>
    <w:tmpl w:val="E4342E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7074A2C"/>
    <w:multiLevelType w:val="hybridMultilevel"/>
    <w:tmpl w:val="DEFAC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064C7A"/>
    <w:multiLevelType w:val="hybridMultilevel"/>
    <w:tmpl w:val="9FE6C2D6"/>
    <w:lvl w:ilvl="0" w:tplc="342C0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45C69"/>
    <w:multiLevelType w:val="hybridMultilevel"/>
    <w:tmpl w:val="C4D4A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D5C63"/>
    <w:multiLevelType w:val="hybridMultilevel"/>
    <w:tmpl w:val="A84E2EBC"/>
    <w:lvl w:ilvl="0" w:tplc="4EEAD26C">
      <w:start w:val="1"/>
      <w:numFmt w:val="lowerLetter"/>
      <w:lvlText w:val="%1."/>
      <w:lvlJc w:val="left"/>
      <w:pPr>
        <w:ind w:left="720" w:hanging="360"/>
      </w:pPr>
      <w:rPr>
        <w:rFonts w:ascii="TimesNewRomanPSMT" w:eastAsiaTheme="minorHAnsi"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03D98"/>
    <w:multiLevelType w:val="hybridMultilevel"/>
    <w:tmpl w:val="E5021416"/>
    <w:lvl w:ilvl="0" w:tplc="4EEAD26C">
      <w:start w:val="1"/>
      <w:numFmt w:val="lowerLetter"/>
      <w:lvlText w:val="%1."/>
      <w:lvlJc w:val="left"/>
      <w:pPr>
        <w:ind w:left="720" w:hanging="360"/>
      </w:pPr>
      <w:rPr>
        <w:rFonts w:ascii="TimesNewRomanPSMT" w:eastAsiaTheme="minorHAnsi"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D0388"/>
    <w:multiLevelType w:val="hybridMultilevel"/>
    <w:tmpl w:val="93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40367"/>
    <w:multiLevelType w:val="hybridMultilevel"/>
    <w:tmpl w:val="6054C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7F257D"/>
    <w:multiLevelType w:val="hybridMultilevel"/>
    <w:tmpl w:val="E33ABBF4"/>
    <w:lvl w:ilvl="0" w:tplc="87E86A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D3D9B"/>
    <w:multiLevelType w:val="hybridMultilevel"/>
    <w:tmpl w:val="7B60B78A"/>
    <w:lvl w:ilvl="0" w:tplc="C926448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D4799"/>
    <w:multiLevelType w:val="hybridMultilevel"/>
    <w:tmpl w:val="A84E2EBC"/>
    <w:lvl w:ilvl="0" w:tplc="4EEAD26C">
      <w:start w:val="1"/>
      <w:numFmt w:val="lowerLetter"/>
      <w:lvlText w:val="%1."/>
      <w:lvlJc w:val="left"/>
      <w:pPr>
        <w:ind w:left="720" w:hanging="360"/>
      </w:pPr>
      <w:rPr>
        <w:rFonts w:ascii="TimesNewRomanPSMT" w:eastAsiaTheme="minorHAnsi"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B5F46"/>
    <w:multiLevelType w:val="hybridMultilevel"/>
    <w:tmpl w:val="9FA86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DE6597"/>
    <w:multiLevelType w:val="hybridMultilevel"/>
    <w:tmpl w:val="A84E2EBC"/>
    <w:lvl w:ilvl="0" w:tplc="4EEAD26C">
      <w:start w:val="1"/>
      <w:numFmt w:val="lowerLetter"/>
      <w:lvlText w:val="%1."/>
      <w:lvlJc w:val="left"/>
      <w:pPr>
        <w:ind w:left="720" w:hanging="360"/>
      </w:pPr>
      <w:rPr>
        <w:rFonts w:ascii="TimesNewRomanPSMT" w:eastAsiaTheme="minorHAnsi"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16F02"/>
    <w:multiLevelType w:val="hybridMultilevel"/>
    <w:tmpl w:val="C8F63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D01EEE"/>
    <w:multiLevelType w:val="hybridMultilevel"/>
    <w:tmpl w:val="E5021416"/>
    <w:lvl w:ilvl="0" w:tplc="4EEAD26C">
      <w:start w:val="1"/>
      <w:numFmt w:val="lowerLetter"/>
      <w:lvlText w:val="%1."/>
      <w:lvlJc w:val="left"/>
      <w:pPr>
        <w:ind w:left="720" w:hanging="360"/>
      </w:pPr>
      <w:rPr>
        <w:rFonts w:ascii="TimesNewRomanPSMT" w:eastAsiaTheme="minorHAnsi"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07E1"/>
    <w:multiLevelType w:val="hybridMultilevel"/>
    <w:tmpl w:val="A5183A1E"/>
    <w:lvl w:ilvl="0" w:tplc="275C4A30">
      <w:start w:val="1"/>
      <w:numFmt w:val="upperLetter"/>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E966ABB"/>
    <w:multiLevelType w:val="hybridMultilevel"/>
    <w:tmpl w:val="06985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E30E31"/>
    <w:multiLevelType w:val="hybridMultilevel"/>
    <w:tmpl w:val="A84E2EBC"/>
    <w:lvl w:ilvl="0" w:tplc="4EEAD26C">
      <w:start w:val="1"/>
      <w:numFmt w:val="lowerLetter"/>
      <w:lvlText w:val="%1."/>
      <w:lvlJc w:val="left"/>
      <w:pPr>
        <w:ind w:left="720" w:hanging="360"/>
      </w:pPr>
      <w:rPr>
        <w:rFonts w:ascii="TimesNewRomanPSMT" w:eastAsiaTheme="minorHAnsi" w:hAnsi="TimesNewRomanPSMT" w:cs="TimesNewRomanPSM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47EB7"/>
    <w:multiLevelType w:val="hybridMultilevel"/>
    <w:tmpl w:val="EA64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43AF6"/>
    <w:multiLevelType w:val="hybridMultilevel"/>
    <w:tmpl w:val="6190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36F52"/>
    <w:multiLevelType w:val="hybridMultilevel"/>
    <w:tmpl w:val="F2F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34EAF"/>
    <w:multiLevelType w:val="hybridMultilevel"/>
    <w:tmpl w:val="B76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11AD2"/>
    <w:multiLevelType w:val="hybridMultilevel"/>
    <w:tmpl w:val="93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832F8"/>
    <w:multiLevelType w:val="hybridMultilevel"/>
    <w:tmpl w:val="117C1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8B2E90"/>
    <w:multiLevelType w:val="hybridMultilevel"/>
    <w:tmpl w:val="B83C7CFC"/>
    <w:lvl w:ilvl="0" w:tplc="701A1358">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DCD653B"/>
    <w:multiLevelType w:val="hybridMultilevel"/>
    <w:tmpl w:val="CCBE4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33"/>
  </w:num>
  <w:num w:numId="4">
    <w:abstractNumId w:val="6"/>
  </w:num>
  <w:num w:numId="5">
    <w:abstractNumId w:val="17"/>
  </w:num>
  <w:num w:numId="6">
    <w:abstractNumId w:val="27"/>
  </w:num>
  <w:num w:numId="7">
    <w:abstractNumId w:val="21"/>
  </w:num>
  <w:num w:numId="8">
    <w:abstractNumId w:val="28"/>
  </w:num>
  <w:num w:numId="9">
    <w:abstractNumId w:val="25"/>
  </w:num>
  <w:num w:numId="10">
    <w:abstractNumId w:val="15"/>
  </w:num>
  <w:num w:numId="11">
    <w:abstractNumId w:val="16"/>
  </w:num>
  <w:num w:numId="12">
    <w:abstractNumId w:val="9"/>
  </w:num>
  <w:num w:numId="13">
    <w:abstractNumId w:val="18"/>
  </w:num>
  <w:num w:numId="14">
    <w:abstractNumId w:val="11"/>
  </w:num>
  <w:num w:numId="15">
    <w:abstractNumId w:val="8"/>
  </w:num>
  <w:num w:numId="16">
    <w:abstractNumId w:val="35"/>
  </w:num>
  <w:num w:numId="17">
    <w:abstractNumId w:val="4"/>
  </w:num>
  <w:num w:numId="18">
    <w:abstractNumId w:val="30"/>
  </w:num>
  <w:num w:numId="19">
    <w:abstractNumId w:val="29"/>
  </w:num>
  <w:num w:numId="20">
    <w:abstractNumId w:val="3"/>
  </w:num>
  <w:num w:numId="21">
    <w:abstractNumId w:val="31"/>
  </w:num>
  <w:num w:numId="22">
    <w:abstractNumId w:val="1"/>
  </w:num>
  <w:num w:numId="23">
    <w:abstractNumId w:val="14"/>
  </w:num>
  <w:num w:numId="24">
    <w:abstractNumId w:val="36"/>
  </w:num>
  <w:num w:numId="25">
    <w:abstractNumId w:val="5"/>
  </w:num>
  <w:num w:numId="26">
    <w:abstractNumId w:val="32"/>
  </w:num>
  <w:num w:numId="27">
    <w:abstractNumId w:val="34"/>
  </w:num>
  <w:num w:numId="28">
    <w:abstractNumId w:val="24"/>
  </w:num>
  <w:num w:numId="29">
    <w:abstractNumId w:val="7"/>
  </w:num>
  <w:num w:numId="30">
    <w:abstractNumId w:val="12"/>
  </w:num>
  <w:num w:numId="31">
    <w:abstractNumId w:val="22"/>
  </w:num>
  <w:num w:numId="32">
    <w:abstractNumId w:val="13"/>
  </w:num>
  <w:num w:numId="33">
    <w:abstractNumId w:val="26"/>
  </w:num>
  <w:num w:numId="34">
    <w:abstractNumId w:val="20"/>
  </w:num>
  <w:num w:numId="35">
    <w:abstractNumId w:val="10"/>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D8"/>
    <w:rsid w:val="0000133A"/>
    <w:rsid w:val="00020815"/>
    <w:rsid w:val="00024A8A"/>
    <w:rsid w:val="00035B6B"/>
    <w:rsid w:val="00052447"/>
    <w:rsid w:val="000537A7"/>
    <w:rsid w:val="00062DE9"/>
    <w:rsid w:val="00096F1C"/>
    <w:rsid w:val="000D5277"/>
    <w:rsid w:val="000E3E53"/>
    <w:rsid w:val="00110ED6"/>
    <w:rsid w:val="00114304"/>
    <w:rsid w:val="0011646E"/>
    <w:rsid w:val="0012132B"/>
    <w:rsid w:val="00124AC1"/>
    <w:rsid w:val="001332C3"/>
    <w:rsid w:val="00133D8E"/>
    <w:rsid w:val="00143ECB"/>
    <w:rsid w:val="001525B0"/>
    <w:rsid w:val="001559AB"/>
    <w:rsid w:val="00161C55"/>
    <w:rsid w:val="00162CCB"/>
    <w:rsid w:val="00171245"/>
    <w:rsid w:val="0017688F"/>
    <w:rsid w:val="001812CB"/>
    <w:rsid w:val="001970E6"/>
    <w:rsid w:val="001A175D"/>
    <w:rsid w:val="001A653B"/>
    <w:rsid w:val="001B0E95"/>
    <w:rsid w:val="001B2B95"/>
    <w:rsid w:val="001C1EFD"/>
    <w:rsid w:val="001C4784"/>
    <w:rsid w:val="001D2CD8"/>
    <w:rsid w:val="001D652D"/>
    <w:rsid w:val="001F4339"/>
    <w:rsid w:val="001F633E"/>
    <w:rsid w:val="002010F7"/>
    <w:rsid w:val="00205973"/>
    <w:rsid w:val="00213747"/>
    <w:rsid w:val="0021782B"/>
    <w:rsid w:val="00232244"/>
    <w:rsid w:val="00246D7A"/>
    <w:rsid w:val="00250271"/>
    <w:rsid w:val="00264F3F"/>
    <w:rsid w:val="00266348"/>
    <w:rsid w:val="00281D5F"/>
    <w:rsid w:val="002877C3"/>
    <w:rsid w:val="00291A1A"/>
    <w:rsid w:val="002974C0"/>
    <w:rsid w:val="002B4608"/>
    <w:rsid w:val="002B5AB0"/>
    <w:rsid w:val="002C5957"/>
    <w:rsid w:val="002D0180"/>
    <w:rsid w:val="002E3C66"/>
    <w:rsid w:val="002E5373"/>
    <w:rsid w:val="002F085C"/>
    <w:rsid w:val="002F7CE3"/>
    <w:rsid w:val="002F7F33"/>
    <w:rsid w:val="00304C73"/>
    <w:rsid w:val="00315CAD"/>
    <w:rsid w:val="003224F6"/>
    <w:rsid w:val="00333DE9"/>
    <w:rsid w:val="00341481"/>
    <w:rsid w:val="0038172C"/>
    <w:rsid w:val="003878E0"/>
    <w:rsid w:val="003940A7"/>
    <w:rsid w:val="003A716B"/>
    <w:rsid w:val="003B0C39"/>
    <w:rsid w:val="003C3603"/>
    <w:rsid w:val="003C6B3F"/>
    <w:rsid w:val="003D44F8"/>
    <w:rsid w:val="003D6D24"/>
    <w:rsid w:val="003D7371"/>
    <w:rsid w:val="003D77A2"/>
    <w:rsid w:val="003E0070"/>
    <w:rsid w:val="003E538B"/>
    <w:rsid w:val="00401552"/>
    <w:rsid w:val="00411345"/>
    <w:rsid w:val="00420DD8"/>
    <w:rsid w:val="00424E4C"/>
    <w:rsid w:val="00440E00"/>
    <w:rsid w:val="00467E85"/>
    <w:rsid w:val="00484331"/>
    <w:rsid w:val="00492085"/>
    <w:rsid w:val="004953FF"/>
    <w:rsid w:val="0049755E"/>
    <w:rsid w:val="004A4283"/>
    <w:rsid w:val="004B48B8"/>
    <w:rsid w:val="004B6F9F"/>
    <w:rsid w:val="004B768E"/>
    <w:rsid w:val="004C0366"/>
    <w:rsid w:val="004C5F76"/>
    <w:rsid w:val="004D0C3D"/>
    <w:rsid w:val="004D3644"/>
    <w:rsid w:val="004E357D"/>
    <w:rsid w:val="004E75DB"/>
    <w:rsid w:val="004F07E8"/>
    <w:rsid w:val="004F6E0D"/>
    <w:rsid w:val="00506C39"/>
    <w:rsid w:val="005070DD"/>
    <w:rsid w:val="00513AD8"/>
    <w:rsid w:val="00513ED7"/>
    <w:rsid w:val="00537CBD"/>
    <w:rsid w:val="00552C9A"/>
    <w:rsid w:val="00554EEC"/>
    <w:rsid w:val="005612E7"/>
    <w:rsid w:val="00567712"/>
    <w:rsid w:val="005762D5"/>
    <w:rsid w:val="0057745C"/>
    <w:rsid w:val="005844B7"/>
    <w:rsid w:val="00591FAF"/>
    <w:rsid w:val="005B607E"/>
    <w:rsid w:val="005C3CF3"/>
    <w:rsid w:val="00620CEE"/>
    <w:rsid w:val="00626F97"/>
    <w:rsid w:val="006314E0"/>
    <w:rsid w:val="0066612E"/>
    <w:rsid w:val="00671FB2"/>
    <w:rsid w:val="00674AB5"/>
    <w:rsid w:val="006769D8"/>
    <w:rsid w:val="00682117"/>
    <w:rsid w:val="00686468"/>
    <w:rsid w:val="00693CCA"/>
    <w:rsid w:val="006943AB"/>
    <w:rsid w:val="00696823"/>
    <w:rsid w:val="006A5196"/>
    <w:rsid w:val="006B1696"/>
    <w:rsid w:val="006B29DD"/>
    <w:rsid w:val="006E5A59"/>
    <w:rsid w:val="006F0E6F"/>
    <w:rsid w:val="00701903"/>
    <w:rsid w:val="00701AA5"/>
    <w:rsid w:val="00701C0F"/>
    <w:rsid w:val="0070552B"/>
    <w:rsid w:val="007228EB"/>
    <w:rsid w:val="00734FF1"/>
    <w:rsid w:val="00751375"/>
    <w:rsid w:val="0075164C"/>
    <w:rsid w:val="00755D07"/>
    <w:rsid w:val="0076014D"/>
    <w:rsid w:val="007602CB"/>
    <w:rsid w:val="00761B51"/>
    <w:rsid w:val="007657A9"/>
    <w:rsid w:val="00776761"/>
    <w:rsid w:val="00781BE2"/>
    <w:rsid w:val="007B0AAA"/>
    <w:rsid w:val="007C1CB4"/>
    <w:rsid w:val="007C6CB6"/>
    <w:rsid w:val="007D5910"/>
    <w:rsid w:val="007E351F"/>
    <w:rsid w:val="007E7285"/>
    <w:rsid w:val="007F3023"/>
    <w:rsid w:val="00800DE0"/>
    <w:rsid w:val="00832FC2"/>
    <w:rsid w:val="00835999"/>
    <w:rsid w:val="008430C5"/>
    <w:rsid w:val="00851796"/>
    <w:rsid w:val="008552AA"/>
    <w:rsid w:val="00867478"/>
    <w:rsid w:val="00872418"/>
    <w:rsid w:val="00874811"/>
    <w:rsid w:val="008750F5"/>
    <w:rsid w:val="008775DF"/>
    <w:rsid w:val="00894D00"/>
    <w:rsid w:val="008B1E1E"/>
    <w:rsid w:val="008C2973"/>
    <w:rsid w:val="008F03B6"/>
    <w:rsid w:val="008F1813"/>
    <w:rsid w:val="009040D7"/>
    <w:rsid w:val="009060D2"/>
    <w:rsid w:val="00913D7D"/>
    <w:rsid w:val="009174E8"/>
    <w:rsid w:val="009218C9"/>
    <w:rsid w:val="0092527E"/>
    <w:rsid w:val="00931FF8"/>
    <w:rsid w:val="00940BAE"/>
    <w:rsid w:val="00946BCD"/>
    <w:rsid w:val="009502DD"/>
    <w:rsid w:val="0096338C"/>
    <w:rsid w:val="00965AF3"/>
    <w:rsid w:val="0096685C"/>
    <w:rsid w:val="00977AD3"/>
    <w:rsid w:val="00983689"/>
    <w:rsid w:val="00983E57"/>
    <w:rsid w:val="00987E5C"/>
    <w:rsid w:val="00995B55"/>
    <w:rsid w:val="009A417E"/>
    <w:rsid w:val="009D5FAE"/>
    <w:rsid w:val="00A01BB1"/>
    <w:rsid w:val="00A03851"/>
    <w:rsid w:val="00A12CEA"/>
    <w:rsid w:val="00A13011"/>
    <w:rsid w:val="00A23BB9"/>
    <w:rsid w:val="00A23FF6"/>
    <w:rsid w:val="00A30FAE"/>
    <w:rsid w:val="00A34E2C"/>
    <w:rsid w:val="00A43535"/>
    <w:rsid w:val="00A704F2"/>
    <w:rsid w:val="00A7622C"/>
    <w:rsid w:val="00A805C5"/>
    <w:rsid w:val="00A86414"/>
    <w:rsid w:val="00A9009A"/>
    <w:rsid w:val="00A97D8B"/>
    <w:rsid w:val="00AA2F29"/>
    <w:rsid w:val="00AA5CBA"/>
    <w:rsid w:val="00AA7711"/>
    <w:rsid w:val="00AB1659"/>
    <w:rsid w:val="00AB1FF8"/>
    <w:rsid w:val="00AB22A9"/>
    <w:rsid w:val="00AB3187"/>
    <w:rsid w:val="00AC3700"/>
    <w:rsid w:val="00AC4625"/>
    <w:rsid w:val="00AD38AF"/>
    <w:rsid w:val="00AD6764"/>
    <w:rsid w:val="00AF0240"/>
    <w:rsid w:val="00AF4A3F"/>
    <w:rsid w:val="00AF6FBB"/>
    <w:rsid w:val="00B04940"/>
    <w:rsid w:val="00B3017A"/>
    <w:rsid w:val="00B32C0F"/>
    <w:rsid w:val="00B34573"/>
    <w:rsid w:val="00B34861"/>
    <w:rsid w:val="00B36D0C"/>
    <w:rsid w:val="00B50556"/>
    <w:rsid w:val="00B539A3"/>
    <w:rsid w:val="00B82A96"/>
    <w:rsid w:val="00B87101"/>
    <w:rsid w:val="00B92A74"/>
    <w:rsid w:val="00BA0BA3"/>
    <w:rsid w:val="00BB6C88"/>
    <w:rsid w:val="00BC0815"/>
    <w:rsid w:val="00BC54EB"/>
    <w:rsid w:val="00BC6D7F"/>
    <w:rsid w:val="00BD3424"/>
    <w:rsid w:val="00BD418E"/>
    <w:rsid w:val="00BD5158"/>
    <w:rsid w:val="00BF7BDF"/>
    <w:rsid w:val="00C15D5A"/>
    <w:rsid w:val="00C4076E"/>
    <w:rsid w:val="00C43994"/>
    <w:rsid w:val="00C65167"/>
    <w:rsid w:val="00C80C18"/>
    <w:rsid w:val="00C92E7C"/>
    <w:rsid w:val="00CA509B"/>
    <w:rsid w:val="00CB5279"/>
    <w:rsid w:val="00CC07F5"/>
    <w:rsid w:val="00CC1B88"/>
    <w:rsid w:val="00CC3D48"/>
    <w:rsid w:val="00CC6E1B"/>
    <w:rsid w:val="00CD2685"/>
    <w:rsid w:val="00CD7B0C"/>
    <w:rsid w:val="00D019F6"/>
    <w:rsid w:val="00D05E68"/>
    <w:rsid w:val="00D117C6"/>
    <w:rsid w:val="00D1758D"/>
    <w:rsid w:val="00D701F2"/>
    <w:rsid w:val="00D70F8B"/>
    <w:rsid w:val="00D94DD8"/>
    <w:rsid w:val="00D976EB"/>
    <w:rsid w:val="00DB34FF"/>
    <w:rsid w:val="00DE0046"/>
    <w:rsid w:val="00DE0FE2"/>
    <w:rsid w:val="00DE1BBC"/>
    <w:rsid w:val="00DE5153"/>
    <w:rsid w:val="00DF39AE"/>
    <w:rsid w:val="00DF7AE3"/>
    <w:rsid w:val="00E016AF"/>
    <w:rsid w:val="00E175FB"/>
    <w:rsid w:val="00E21EB4"/>
    <w:rsid w:val="00E33AB7"/>
    <w:rsid w:val="00E46FC1"/>
    <w:rsid w:val="00E62615"/>
    <w:rsid w:val="00E65F5D"/>
    <w:rsid w:val="00E67968"/>
    <w:rsid w:val="00E77472"/>
    <w:rsid w:val="00E80D9A"/>
    <w:rsid w:val="00E84762"/>
    <w:rsid w:val="00E8727C"/>
    <w:rsid w:val="00E92BD3"/>
    <w:rsid w:val="00E94E8E"/>
    <w:rsid w:val="00EB2581"/>
    <w:rsid w:val="00EF2373"/>
    <w:rsid w:val="00F00621"/>
    <w:rsid w:val="00F00F7B"/>
    <w:rsid w:val="00F0103D"/>
    <w:rsid w:val="00F0298B"/>
    <w:rsid w:val="00F25C7F"/>
    <w:rsid w:val="00F333D4"/>
    <w:rsid w:val="00F415AB"/>
    <w:rsid w:val="00F47932"/>
    <w:rsid w:val="00F860A0"/>
    <w:rsid w:val="00F87EB4"/>
    <w:rsid w:val="00F912C5"/>
    <w:rsid w:val="00F94EAD"/>
    <w:rsid w:val="00FA1A43"/>
    <w:rsid w:val="00FA6091"/>
    <w:rsid w:val="00FB3FC9"/>
    <w:rsid w:val="48A8463B"/>
    <w:rsid w:val="4D2BF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0031C"/>
  <w15:docId w15:val="{50FF598D-5CC0-44F2-B3BC-785CD491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CD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1D2CD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jc w:val="both"/>
      <w:outlineLvl w:val="1"/>
    </w:pPr>
    <w:rPr>
      <w:caps/>
      <w:spacing w:val="15"/>
      <w:lang w:bidi="en-US"/>
    </w:rPr>
  </w:style>
  <w:style w:type="paragraph" w:styleId="Heading3">
    <w:name w:val="heading 3"/>
    <w:basedOn w:val="Normal"/>
    <w:next w:val="Normal"/>
    <w:link w:val="Heading3Char"/>
    <w:uiPriority w:val="9"/>
    <w:unhideWhenUsed/>
    <w:qFormat/>
    <w:rsid w:val="00333D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970E6"/>
    <w:pPr>
      <w:keepNext/>
      <w:keepLines/>
      <w:spacing w:before="240" w:after="120"/>
      <w:outlineLvl w:val="3"/>
    </w:pPr>
    <w:rPr>
      <w:rFonts w:eastAsiaTheme="majorEastAsia" w:cstheme="majorBidi"/>
      <w:b/>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CD8"/>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1D2CD8"/>
    <w:rPr>
      <w:rFonts w:eastAsiaTheme="minorEastAsia"/>
      <w:caps/>
      <w:spacing w:val="15"/>
      <w:shd w:val="clear" w:color="auto" w:fill="DBE5F1" w:themeFill="accent1" w:themeFillTint="33"/>
      <w:lang w:bidi="en-US"/>
    </w:rPr>
  </w:style>
  <w:style w:type="table" w:styleId="TableGrid">
    <w:name w:val="Table Grid"/>
    <w:basedOn w:val="TableNormal"/>
    <w:uiPriority w:val="39"/>
    <w:rsid w:val="001D2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602CB"/>
    <w:rPr>
      <w:sz w:val="16"/>
      <w:szCs w:val="16"/>
    </w:rPr>
  </w:style>
  <w:style w:type="paragraph" w:styleId="CommentText">
    <w:name w:val="annotation text"/>
    <w:basedOn w:val="Normal"/>
    <w:link w:val="CommentTextChar"/>
    <w:uiPriority w:val="99"/>
    <w:semiHidden/>
    <w:unhideWhenUsed/>
    <w:rsid w:val="007602CB"/>
    <w:pPr>
      <w:spacing w:line="240" w:lineRule="auto"/>
    </w:pPr>
    <w:rPr>
      <w:sz w:val="20"/>
      <w:szCs w:val="20"/>
    </w:rPr>
  </w:style>
  <w:style w:type="character" w:customStyle="1" w:styleId="CommentTextChar">
    <w:name w:val="Comment Text Char"/>
    <w:basedOn w:val="DefaultParagraphFont"/>
    <w:link w:val="CommentText"/>
    <w:uiPriority w:val="99"/>
    <w:semiHidden/>
    <w:rsid w:val="007602CB"/>
    <w:rPr>
      <w:sz w:val="20"/>
      <w:szCs w:val="20"/>
    </w:rPr>
  </w:style>
  <w:style w:type="paragraph" w:styleId="CommentSubject">
    <w:name w:val="annotation subject"/>
    <w:basedOn w:val="CommentText"/>
    <w:next w:val="CommentText"/>
    <w:link w:val="CommentSubjectChar"/>
    <w:uiPriority w:val="99"/>
    <w:semiHidden/>
    <w:unhideWhenUsed/>
    <w:rsid w:val="007602CB"/>
    <w:rPr>
      <w:b/>
      <w:bCs/>
    </w:rPr>
  </w:style>
  <w:style w:type="character" w:customStyle="1" w:styleId="CommentSubjectChar">
    <w:name w:val="Comment Subject Char"/>
    <w:basedOn w:val="CommentTextChar"/>
    <w:link w:val="CommentSubject"/>
    <w:uiPriority w:val="99"/>
    <w:semiHidden/>
    <w:rsid w:val="007602CB"/>
    <w:rPr>
      <w:b/>
      <w:bCs/>
      <w:sz w:val="20"/>
      <w:szCs w:val="20"/>
    </w:rPr>
  </w:style>
  <w:style w:type="paragraph" w:styleId="BalloonText">
    <w:name w:val="Balloon Text"/>
    <w:basedOn w:val="Normal"/>
    <w:link w:val="BalloonTextChar"/>
    <w:uiPriority w:val="99"/>
    <w:semiHidden/>
    <w:unhideWhenUsed/>
    <w:rsid w:val="0076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CB"/>
    <w:rPr>
      <w:rFonts w:ascii="Tahoma" w:hAnsi="Tahoma" w:cs="Tahoma"/>
      <w:sz w:val="16"/>
      <w:szCs w:val="16"/>
    </w:rPr>
  </w:style>
  <w:style w:type="paragraph" w:styleId="Revision">
    <w:name w:val="Revision"/>
    <w:hidden/>
    <w:uiPriority w:val="99"/>
    <w:semiHidden/>
    <w:rsid w:val="008750F5"/>
    <w:pPr>
      <w:spacing w:after="0" w:line="240" w:lineRule="auto"/>
    </w:pPr>
  </w:style>
  <w:style w:type="paragraph" w:styleId="ListParagraph">
    <w:name w:val="List Paragraph"/>
    <w:basedOn w:val="Normal"/>
    <w:link w:val="ListParagraphChar"/>
    <w:uiPriority w:val="34"/>
    <w:qFormat/>
    <w:rsid w:val="002F7CE3"/>
    <w:pPr>
      <w:spacing w:after="120"/>
      <w:ind w:left="720"/>
    </w:pPr>
  </w:style>
  <w:style w:type="paragraph" w:styleId="Header">
    <w:name w:val="header"/>
    <w:basedOn w:val="Normal"/>
    <w:link w:val="HeaderChar"/>
    <w:uiPriority w:val="99"/>
    <w:unhideWhenUsed/>
    <w:rsid w:val="0051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D7"/>
  </w:style>
  <w:style w:type="paragraph" w:styleId="Footer">
    <w:name w:val="footer"/>
    <w:basedOn w:val="Normal"/>
    <w:link w:val="FooterChar"/>
    <w:uiPriority w:val="99"/>
    <w:unhideWhenUsed/>
    <w:rsid w:val="0051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D7"/>
  </w:style>
  <w:style w:type="character" w:styleId="SubtleEmphasis">
    <w:name w:val="Subtle Emphasis"/>
    <w:basedOn w:val="DefaultParagraphFont"/>
    <w:uiPriority w:val="19"/>
    <w:qFormat/>
    <w:rsid w:val="0076014D"/>
    <w:rPr>
      <w:i/>
      <w:iCs/>
      <w:color w:val="404040" w:themeColor="text1" w:themeTint="BF"/>
    </w:rPr>
  </w:style>
  <w:style w:type="paragraph" w:styleId="FootnoteText">
    <w:name w:val="footnote text"/>
    <w:aliases w:val="single space,footnote text,fn,FOOTNOTES,Footnote Text Char Char Char,Footnote Text Char Char Char1,Footnote Text Char Char Char2 Char,Footnote Text Char Char Char1 Char,Footnote Text Char Char,Footnote Text Char1,ft,Footnote Text Char2,f"/>
    <w:basedOn w:val="Normal"/>
    <w:link w:val="FootnoteTextChar"/>
    <w:uiPriority w:val="99"/>
    <w:unhideWhenUsed/>
    <w:qFormat/>
    <w:rsid w:val="00AC4625"/>
    <w:pPr>
      <w:spacing w:after="0" w:line="240" w:lineRule="auto"/>
      <w:jc w:val="both"/>
    </w:pPr>
    <w:rPr>
      <w:sz w:val="20"/>
      <w:szCs w:val="20"/>
      <w:lang w:eastAsia="en-US"/>
    </w:rPr>
  </w:style>
  <w:style w:type="character" w:customStyle="1" w:styleId="FootnoteTextChar">
    <w:name w:val="Footnote Text Char"/>
    <w:aliases w:val="single space Char,footnote text Char,fn Char,FOOTNOTES Char,Footnote Text Char Char Char Char,Footnote Text Char Char Char1 Char1,Footnote Text Char Char Char2 Char Char,Footnote Text Char Char Char1 Char Char,Footnote Text Char1 Char"/>
    <w:basedOn w:val="DefaultParagraphFont"/>
    <w:link w:val="FootnoteText"/>
    <w:uiPriority w:val="99"/>
    <w:rsid w:val="00AC4625"/>
    <w:rPr>
      <w:sz w:val="20"/>
      <w:szCs w:val="20"/>
      <w:lang w:eastAsia="en-US"/>
    </w:rPr>
  </w:style>
  <w:style w:type="character" w:styleId="FootnoteReference">
    <w:name w:val="footnote reference"/>
    <w:aliases w:val="16 Point,Superscript 6 Point,ftref,Footnote Reference1,E FNZ,-E Fußnotenzeichen,Footnote#,-E Fu§notenzeichen,Footnote Reference Number,Footnote Reference_LVL6,Footnote Reference_LVL61,Footnote Reference_LVL62,Footnote Reference_LVL63"/>
    <w:basedOn w:val="DefaultParagraphFont"/>
    <w:uiPriority w:val="99"/>
    <w:unhideWhenUsed/>
    <w:qFormat/>
    <w:rsid w:val="00AC4625"/>
    <w:rPr>
      <w:vertAlign w:val="superscript"/>
    </w:rPr>
  </w:style>
  <w:style w:type="character" w:styleId="IntenseEmphasis">
    <w:name w:val="Intense Emphasis"/>
    <w:basedOn w:val="DefaultParagraphFont"/>
    <w:uiPriority w:val="21"/>
    <w:qFormat/>
    <w:rsid w:val="00537CBD"/>
    <w:rPr>
      <w:i/>
      <w:iCs/>
      <w:color w:val="4F81BD" w:themeColor="accent1"/>
    </w:rPr>
  </w:style>
  <w:style w:type="character" w:customStyle="1" w:styleId="Heading3Char">
    <w:name w:val="Heading 3 Char"/>
    <w:basedOn w:val="DefaultParagraphFont"/>
    <w:link w:val="Heading3"/>
    <w:uiPriority w:val="9"/>
    <w:rsid w:val="00333DE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970E6"/>
    <w:rPr>
      <w:rFonts w:eastAsiaTheme="majorEastAsia" w:cstheme="majorBidi"/>
      <w:b/>
      <w:i/>
      <w:iCs/>
      <w:color w:val="365F91" w:themeColor="accent1" w:themeShade="BF"/>
      <w:sz w:val="24"/>
    </w:rPr>
  </w:style>
  <w:style w:type="table" w:customStyle="1" w:styleId="TableGrid1">
    <w:name w:val="Table Grid1"/>
    <w:basedOn w:val="TableNormal"/>
    <w:next w:val="TableGrid"/>
    <w:uiPriority w:val="39"/>
    <w:rsid w:val="00AD38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7C1CB4"/>
  </w:style>
  <w:style w:type="character" w:styleId="Hyperlink">
    <w:name w:val="Hyperlink"/>
    <w:basedOn w:val="DefaultParagraphFont"/>
    <w:uiPriority w:val="99"/>
    <w:unhideWhenUsed/>
    <w:rsid w:val="00E92BD3"/>
    <w:rPr>
      <w:color w:val="0000FF" w:themeColor="hyperlink"/>
      <w:u w:val="single"/>
    </w:rPr>
  </w:style>
  <w:style w:type="character" w:styleId="UnresolvedMention">
    <w:name w:val="Unresolved Mention"/>
    <w:basedOn w:val="DefaultParagraphFont"/>
    <w:uiPriority w:val="99"/>
    <w:semiHidden/>
    <w:unhideWhenUsed/>
    <w:rsid w:val="00E9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24870">
      <w:bodyDiv w:val="1"/>
      <w:marLeft w:val="0"/>
      <w:marRight w:val="0"/>
      <w:marTop w:val="0"/>
      <w:marBottom w:val="0"/>
      <w:divBdr>
        <w:top w:val="none" w:sz="0" w:space="0" w:color="auto"/>
        <w:left w:val="none" w:sz="0" w:space="0" w:color="auto"/>
        <w:bottom w:val="none" w:sz="0" w:space="0" w:color="auto"/>
        <w:right w:val="none" w:sz="0" w:space="0" w:color="auto"/>
      </w:divBdr>
      <w:divsChild>
        <w:div w:id="213927108">
          <w:marLeft w:val="1166"/>
          <w:marRight w:val="0"/>
          <w:marTop w:val="120"/>
          <w:marBottom w:val="0"/>
          <w:divBdr>
            <w:top w:val="none" w:sz="0" w:space="0" w:color="auto"/>
            <w:left w:val="none" w:sz="0" w:space="0" w:color="auto"/>
            <w:bottom w:val="none" w:sz="0" w:space="0" w:color="auto"/>
            <w:right w:val="none" w:sz="0" w:space="0" w:color="auto"/>
          </w:divBdr>
        </w:div>
      </w:divsChild>
    </w:div>
    <w:div w:id="16826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4F8B5CCC3DCB5F47B657C1577A30BF09" ma:contentTypeVersion="29" ma:contentTypeDescription="" ma:contentTypeScope="" ma:versionID="c1df1e0f0f46a2936dc03387f408bf54">
  <xsd:schema xmlns:xsd="http://www.w3.org/2001/XMLSchema" xmlns:xs="http://www.w3.org/2001/XMLSchema" xmlns:p="http://schemas.microsoft.com/office/2006/metadata/properties" xmlns:ns3="3e02667f-0271-471b-bd6e-11a2e16def1d" targetNamespace="http://schemas.microsoft.com/office/2006/metadata/properties" ma:root="true" ma:fieldsID="d10daac60d1b1199b4992bd91830dc55"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0383012b-6f40-42f8-8b47-aa032e36f517}" ma:internalName="TaxCatchAll" ma:showField="CatchAllData" ma:web="cefeb6a3-4de6-42fc-a396-9b7c72e45554">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383012b-6f40-42f8-8b47-aa032e36f517}" ma:internalName="TaxCatchAllLabel" ma:readOnly="true" ma:showField="CatchAllDataLabel" ma:web="cefeb6a3-4de6-42fc-a396-9b7c72e4555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SCCD2|b4808342-95f9-4ac9-bb2a-1105c93b66cc;#6;#SCCD1|2bda2a37-6edc-4b88-a3d0-1bb5efd1a34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SCCD2</TermName>
          <TermId xmlns="http://schemas.microsoft.com/office/infopath/2007/PartnerControls">b4808342-95f9-4ac9-bb2a-1105c93b66cc</TermId>
        </TermInfo>
        <TermInfo xmlns="http://schemas.microsoft.com/office/infopath/2007/PartnerControls">
          <TermName xmlns="http://schemas.microsoft.com/office/infopath/2007/PartnerControls">SCCD1</TermName>
          <TermId xmlns="http://schemas.microsoft.com/office/infopath/2007/PartnerControls">2bda2a37-6edc-4b88-a3d0-1bb5efd1a348</TermId>
        </TermInfo>
      </Terms>
    </i008215bacac45029ee8cafff4c8e93b>
    <WBDocs_Document_Date xmlns="3e02667f-0271-471b-bd6e-11a2e16def1d">2020-05-12T14:54:41+00:00</WBDocs_Document_Date>
    <WBDocs_Access_To_Info_Exception xmlns="3e02667f-0271-471b-bd6e-11a2e16def1d">12. Not Assessed</WBDocs_Access_To_Info_Exception>
    <TaxCatchAll xmlns="3e02667f-0271-471b-bd6e-11a2e16def1d">
      <Value>6</Value>
      <Value>5</Value>
      <Value>3</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Props1.xml><?xml version="1.0" encoding="utf-8"?>
<ds:datastoreItem xmlns:ds="http://schemas.openxmlformats.org/officeDocument/2006/customXml" ds:itemID="{A4DF0252-32A7-4F8B-A03D-CBEBB37492E4}">
  <ds:schemaRefs>
    <ds:schemaRef ds:uri="Microsoft.SharePoint.Taxonomy.ContentTypeSync"/>
  </ds:schemaRefs>
</ds:datastoreItem>
</file>

<file path=customXml/itemProps2.xml><?xml version="1.0" encoding="utf-8"?>
<ds:datastoreItem xmlns:ds="http://schemas.openxmlformats.org/officeDocument/2006/customXml" ds:itemID="{A6FF598C-85DF-49C5-ABA2-9D446C466396}">
  <ds:schemaRefs>
    <ds:schemaRef ds:uri="http://schemas.openxmlformats.org/officeDocument/2006/bibliography"/>
  </ds:schemaRefs>
</ds:datastoreItem>
</file>

<file path=customXml/itemProps3.xml><?xml version="1.0" encoding="utf-8"?>
<ds:datastoreItem xmlns:ds="http://schemas.openxmlformats.org/officeDocument/2006/customXml" ds:itemID="{8DE20927-E3EA-4FEA-BBF5-C32BD6D6FF4D}">
  <ds:schemaRefs>
    <ds:schemaRef ds:uri="http://schemas.microsoft.com/sharepoint/v3/contenttype/forms"/>
  </ds:schemaRefs>
</ds:datastoreItem>
</file>

<file path=customXml/itemProps4.xml><?xml version="1.0" encoding="utf-8"?>
<ds:datastoreItem xmlns:ds="http://schemas.openxmlformats.org/officeDocument/2006/customXml" ds:itemID="{49DAAA5F-AA61-4E85-83A9-6D669990F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C2FC0-5DAA-40A4-93D6-B71D5A881EDE}">
  <ds:schemaRefs>
    <ds:schemaRef ds:uri="http://schemas.microsoft.com/sharepoint/events"/>
  </ds:schemaRefs>
</ds:datastoreItem>
</file>

<file path=customXml/itemProps6.xml><?xml version="1.0" encoding="utf-8"?>
<ds:datastoreItem xmlns:ds="http://schemas.openxmlformats.org/officeDocument/2006/customXml" ds:itemID="{DA9C13B4-1351-4A86-AF49-5B1F123A8EDB}">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Steckhan</dc:creator>
  <cp:keywords/>
  <cp:lastModifiedBy>Namita Rajesh</cp:lastModifiedBy>
  <cp:revision>2</cp:revision>
  <cp:lastPrinted>2016-01-20T00:56:00Z</cp:lastPrinted>
  <dcterms:created xsi:type="dcterms:W3CDTF">2021-12-06T18:23:00Z</dcterms:created>
  <dcterms:modified xsi:type="dcterms:W3CDTF">2021-12-06T18:23:00Z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be16eaccf4749f086104f7c67297f76">
    <vt:lpwstr>World Bank|bc205cc9-8a56-48a3-9f30-b099e7707c1b</vt:lpwstr>
  </property>
  <property fmtid="{D5CDD505-2E9C-101B-9397-08002B2CF9AE}" pid="3" name="ContentTypeId">
    <vt:lpwstr>0x010100F4C63C3BD852AE468EAEFD0E6C57C64F02004F8B5CCC3DCB5F47B657C1577A30BF09</vt:lpwstr>
  </property>
  <property fmtid="{D5CDD505-2E9C-101B-9397-08002B2CF9AE}" pid="4" name="WBDocs_Originating_Unit">
    <vt:lpwstr>5;#SCCD2|b4808342-95f9-4ac9-bb2a-1105c93b66cc;#6;#SCCD1|2bda2a37-6edc-4b88-a3d0-1bb5efd1a348</vt:lpwstr>
  </property>
  <property fmtid="{D5CDD505-2E9C-101B-9397-08002B2CF9AE}" pid="5" name="TaxKeyword">
    <vt:lpwstr/>
  </property>
  <property fmtid="{D5CDD505-2E9C-101B-9397-08002B2CF9AE}" pid="6" name="TaxKeywordTaxHTField">
    <vt:lpwstr/>
  </property>
  <property fmtid="{D5CDD505-2E9C-101B-9397-08002B2CF9AE}" pid="7" name="Organization">
    <vt:lpwstr>3;#World Bank|bc205cc9-8a56-48a3-9f30-b099e7707c1b</vt:lpwstr>
  </property>
  <property fmtid="{D5CDD505-2E9C-101B-9397-08002B2CF9AE}" pid="8" name="WBDocs_Local_Document_Type">
    <vt:lpwstr/>
  </property>
  <property fmtid="{D5CDD505-2E9C-101B-9397-08002B2CF9AE}" pid="9" name="SharedWithUsers">
    <vt:lpwstr>135;#Javier Freire Coloma</vt:lpwstr>
  </property>
  <property fmtid="{D5CDD505-2E9C-101B-9397-08002B2CF9AE}" pid="10" name="hbe71f8dfd024405860d37e862f27a82">
    <vt:lpwstr/>
  </property>
  <property fmtid="{D5CDD505-2E9C-101B-9397-08002B2CF9AE}" pid="11" name="WBDocs_Country">
    <vt:lpwstr/>
  </property>
  <property fmtid="{D5CDD505-2E9C-101B-9397-08002B2CF9AE}" pid="12" name="m23003d518f743f49dcbc82909afe93a">
    <vt:lpwstr/>
  </property>
  <property fmtid="{D5CDD505-2E9C-101B-9397-08002B2CF9AE}" pid="13" name="d744a75525f04a8c9e54f4ed11bfe7c0">
    <vt:lpwstr/>
  </property>
  <property fmtid="{D5CDD505-2E9C-101B-9397-08002B2CF9AE}" pid="14" name="WBDocs_Topic">
    <vt:lpwstr/>
  </property>
  <property fmtid="{D5CDD505-2E9C-101B-9397-08002B2CF9AE}" pid="15" name="WBDocs_Category">
    <vt:lpwstr/>
  </property>
  <property fmtid="{D5CDD505-2E9C-101B-9397-08002B2CF9AE}" pid="16" name="WBDocs_Language">
    <vt:lpwstr/>
  </property>
  <property fmtid="{D5CDD505-2E9C-101B-9397-08002B2CF9AE}" pid="17" name="n51c50147e554be9a5479ee6e2785bf7">
    <vt:lpwstr/>
  </property>
  <property fmtid="{D5CDD505-2E9C-101B-9397-08002B2CF9AE}" pid="18" name="pf1bc08d06b541998378c6b8090400d8">
    <vt:lpwstr/>
  </property>
  <property fmtid="{D5CDD505-2E9C-101B-9397-08002B2CF9AE}" pid="19" name="WBDocs_Business_Function">
    <vt:lpwstr/>
  </property>
</Properties>
</file>